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Heading1"/>
        <w:keepNext w:val="true"/>
        <w:spacing w:before="240" w:after="60"/>
        <w:jc w:val="center"/>
        <w:rPr/>
      </w:pPr>
      <w:r>
        <w:rPr/>
        <w:t xml:space="preserve">Cocrystals of 1,8-diacetylpyrene with TCNB: </w:t>
        <w:br/>
        <w:t>their relative stability, mechanical and photoluminescent properties</w:t>
      </w:r>
    </w:p>
    <w:p>
      <w:pPr>
        <w:pStyle w:val="Heading2"/>
        <w:rPr/>
      </w:pPr>
      <w:r>
        <w:rPr>
          <w:rFonts w:eastAsia="Times New Roman" w:cs="Arial"/>
          <w:b/>
          <w:bCs/>
          <w:iCs/>
          <w:color w:val="auto"/>
          <w:kern w:val="0"/>
          <w:sz w:val="20"/>
          <w:szCs w:val="28"/>
          <w:lang w:val="en-GB" w:eastAsia="de-DE" w:bidi="ar-SA"/>
        </w:rPr>
        <w:t>J</w:t>
      </w:r>
      <w:r>
        <w:rPr/>
        <w:t xml:space="preserve">. </w:t>
      </w:r>
      <w:r>
        <w:rPr>
          <w:rFonts w:eastAsia="Times New Roman" w:cs="Arial"/>
          <w:b/>
          <w:bCs/>
          <w:iCs/>
          <w:color w:val="auto"/>
          <w:kern w:val="0"/>
          <w:sz w:val="20"/>
          <w:szCs w:val="28"/>
          <w:lang w:val="en-GB" w:eastAsia="de-DE" w:bidi="ar-SA"/>
        </w:rPr>
        <w:t>Krzeszczakowska</w:t>
      </w:r>
      <w:r>
        <w:rPr>
          <w:vertAlign w:val="superscript"/>
        </w:rPr>
        <w:t>1</w:t>
      </w:r>
      <w:r>
        <w:rPr/>
        <w:t xml:space="preserve">, </w:t>
      </w:r>
      <w:r>
        <w:rPr>
          <w:rFonts w:eastAsia="Times New Roman" w:cs="Arial"/>
          <w:b/>
          <w:bCs/>
          <w:iCs/>
          <w:color w:val="auto"/>
          <w:kern w:val="0"/>
          <w:sz w:val="20"/>
          <w:szCs w:val="28"/>
          <w:lang w:val="en-GB" w:eastAsia="de-DE" w:bidi="ar-SA"/>
        </w:rPr>
        <w:t>A.Makal</w:t>
      </w:r>
      <w:r>
        <w:rPr>
          <w:vertAlign w:val="superscript"/>
        </w:rPr>
        <w:t>1</w:t>
      </w:r>
    </w:p>
    <w:p>
      <w:pPr>
        <w:pStyle w:val="Heading3"/>
        <w:rPr/>
      </w:pPr>
      <w:r>
        <w:rPr>
          <w:vertAlign w:val="superscript"/>
        </w:rPr>
        <w:t>1</w:t>
      </w:r>
      <w:r>
        <w:rPr>
          <w:position w:val="0"/>
          <w:sz w:val="20"/>
          <w:sz w:val="20"/>
          <w:vertAlign w:val="baseline"/>
        </w:rPr>
        <w:t>University of Warsaw, Faculty of Chemistry, Biological and Chemical Research Centre, Warsaw, Poland</w:t>
      </w:r>
    </w:p>
    <w:p>
      <w:pPr>
        <w:pStyle w:val="Heading3"/>
        <w:rPr>
          <w:sz w:val="18"/>
          <w:szCs w:val="18"/>
        </w:rPr>
      </w:pPr>
      <w:r>
        <w:rPr>
          <w:lang w:eastAsia="de-DE"/>
        </w:rPr>
        <w:t>j.krzeszczakowska@uw.edu.pl</w:t>
        <w:br/>
      </w:r>
    </w:p>
    <w:p>
      <w:pPr>
        <w:pStyle w:val="Normal"/>
        <w:spacing w:before="0" w:after="0"/>
        <w:rPr/>
      </w:pPr>
      <w:r>
        <w:rPr/>
        <w:t xml:space="preserve">Cocrystallization, as a means to obtain cost-effective functional materials with predictable properties from neutral molecular building blocks has found applications in production of luminescent materials [1]. Comparative study of cocrystals with various substrate ratios should provide an opportunity to investigate materials containing different packing motifs. We present a study of three distinct cocrystals </w:t>
      </w:r>
      <w:r>
        <w:rPr>
          <w:rFonts w:eastAsia="Times New Roman" w:cs="Times New Roman"/>
          <w:color w:val="auto"/>
          <w:kern w:val="0"/>
          <w:sz w:val="20"/>
          <w:szCs w:val="20"/>
          <w:lang w:val="en-GB" w:eastAsia="de-DE" w:bidi="ar-SA"/>
        </w:rPr>
        <w:t>o</w:t>
      </w:r>
      <w:r>
        <w:rPr/>
        <w:t>f 1,8-diacetyl-pyrene (bAP) with 1,2,4,5-tetra-cyano-benzene (TCNB) obtained by crystallization from various solvents and their structures determined by single-crystal X-ray diffraction combined with Hirshfeld Atom Refinement (HAR) [</w:t>
      </w:r>
      <w:r>
        <w:rPr>
          <w:rFonts w:eastAsia="Times New Roman" w:cs="Times New Roman"/>
          <w:color w:val="auto"/>
          <w:kern w:val="0"/>
          <w:sz w:val="20"/>
          <w:szCs w:val="20"/>
          <w:lang w:val="en-GB" w:eastAsia="de-DE" w:bidi="ar-SA"/>
        </w:rPr>
        <w:t>2</w:t>
      </w:r>
      <w:r>
        <w:rPr/>
        <w:t xml:space="preserve">]. The new crystalline materials vary in the bAP:TCNB ratios, molecular packing and symmetry. A common structural motif, accounting for noticeable anisotropy of thermal expansion coefficients and uniform orange photoluminescence in these cocrystals is an infinite ROD consisting of alternating bAP and TCNB moieties </w:t>
      </w:r>
      <w:r>
        <w:rPr>
          <w:rFonts w:eastAsia="Times New Roman" w:cs="Times New Roman" w:ascii="rsfs10" w:hAnsi="rsfs10"/>
        </w:rPr>
        <w:t>π</w:t>
      </w:r>
      <w:r>
        <w:rPr/>
        <w:t xml:space="preserve">-stacked in 1:1 or 2:1 ratios. Face-to-face </w:t>
      </w:r>
      <w:r>
        <w:rPr>
          <w:rFonts w:eastAsia="Times New Roman" w:cs="Times New Roman" w:ascii="rsfs10" w:hAnsi="rsfs10"/>
        </w:rPr>
        <w:t>π</w:t>
      </w:r>
      <w:r>
        <w:rPr/>
        <w:t xml:space="preserve">-stacking is one of the dominant interactions. 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 xml:space="preserve">The unique propensity for crystal jumping in the cocrystals with 1:1 bAP:TCNB ratio has been tentatively ascribed to the presence of corrugated tapes of bAP and TCNB molecules linked with C—H … O and C—H … N interactions and the flattening of these tapes as a result of increased tape's thermal vibrations. Anisotropic Displacement Parameters obtained for this cocrystals from HAR and </w:t>
      </w:r>
      <w:r>
        <w:rPr>
          <w:rFonts w:eastAsia="Times New Roman" w:cs="Times New Roman"/>
          <w:color w:val="auto"/>
          <w:kern w:val="0"/>
          <w:sz w:val="20"/>
          <w:szCs w:val="20"/>
          <w:lang w:val="en-GB" w:eastAsia="de-DE" w:bidi="ar-SA"/>
        </w:rPr>
        <w:t>p</w:t>
      </w:r>
      <w:r>
        <w:rPr/>
        <w:t xml:space="preserve">eriodic calculations </w:t>
      </w:r>
      <w:r>
        <w:rPr>
          <w:rFonts w:eastAsia="Times New Roman" w:cs="Times New Roman"/>
          <w:color w:val="auto"/>
          <w:kern w:val="0"/>
          <w:sz w:val="20"/>
          <w:szCs w:val="20"/>
          <w:lang w:val="en-GB" w:eastAsia="de-DE" w:bidi="ar-SA"/>
        </w:rPr>
        <w:t>utilizing</w:t>
      </w:r>
      <w:r>
        <w:rPr/>
        <w:t xml:space="preserve"> CASTEP[</w:t>
      </w:r>
      <w:r>
        <w:rPr>
          <w:rFonts w:eastAsia="Times New Roman" w:cs="Times New Roman"/>
          <w:color w:val="auto"/>
          <w:kern w:val="0"/>
          <w:sz w:val="20"/>
          <w:szCs w:val="20"/>
          <w:lang w:val="en-GB" w:eastAsia="de-DE" w:bidi="ar-SA"/>
        </w:rPr>
        <w:t>3</w:t>
      </w:r>
      <w:r>
        <w:rPr/>
        <w:t>] and CRYSTAL[</w:t>
      </w:r>
      <w:r>
        <w:rPr>
          <w:rFonts w:eastAsia="Times New Roman" w:cs="Times New Roman"/>
          <w:color w:val="auto"/>
          <w:kern w:val="0"/>
          <w:sz w:val="20"/>
          <w:szCs w:val="20"/>
          <w:lang w:val="en-GB" w:eastAsia="de-DE" w:bidi="ar-SA"/>
        </w:rPr>
        <w:t>4</w:t>
      </w:r>
      <w:r>
        <w:rPr/>
        <w:t>] programme are compared.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 xml:space="preserve">Periodic DFT calculations allowed us to predict relative stability of these </w:t>
      </w:r>
      <w:r>
        <w:rPr>
          <w:rFonts w:eastAsia="Times New Roman" w:cs="Times New Roman"/>
          <w:color w:val="auto"/>
          <w:kern w:val="0"/>
          <w:sz w:val="20"/>
          <w:szCs w:val="20"/>
          <w:lang w:val="en-GB" w:eastAsia="de-DE" w:bidi="ar-SA"/>
        </w:rPr>
        <w:t>cocrystals</w:t>
      </w:r>
      <w:r>
        <w:rPr/>
        <w:t xml:space="preserve"> and their interconversion </w:t>
      </w:r>
      <w:r>
        <w:rPr>
          <w:rFonts w:eastAsia="Times New Roman" w:cs="Times New Roman"/>
          <w:color w:val="auto"/>
          <w:kern w:val="0"/>
          <w:sz w:val="20"/>
          <w:szCs w:val="20"/>
          <w:lang w:val="en-GB" w:eastAsia="de-DE" w:bidi="ar-SA"/>
        </w:rPr>
        <w:t>at</w:t>
      </w:r>
      <w:r>
        <w:rPr/>
        <w:t xml:space="preserve"> 0K and room temperatures, respectively. </w:t>
      </w:r>
      <w:r>
        <w:rPr>
          <w:rFonts w:eastAsia="Times New Roman" w:cs="Times New Roman"/>
          <w:color w:val="auto"/>
          <w:kern w:val="0"/>
          <w:sz w:val="20"/>
          <w:szCs w:val="20"/>
          <w:lang w:val="en-GB" w:eastAsia="de-DE" w:bidi="ar-SA"/>
        </w:rPr>
        <w:t xml:space="preserve">NoMoRe [5] programe refining frequences obtained from periodic DFT calculations against experimental data </w:t>
      </w:r>
      <w:r>
        <w:rPr/>
        <w:t>empower deriv</w:t>
      </w:r>
      <w:r>
        <w:rPr>
          <w:rFonts w:eastAsia="Times New Roman" w:cs="Times New Roman"/>
          <w:color w:val="auto"/>
          <w:kern w:val="0"/>
          <w:sz w:val="20"/>
          <w:szCs w:val="20"/>
          <w:lang w:val="en-GB" w:eastAsia="de-DE" w:bidi="ar-SA"/>
        </w:rPr>
        <w:t>ing</w:t>
      </w:r>
      <w:r>
        <w:rPr/>
        <w:t xml:space="preserve"> the thermodynamic properties and establishing elative stability of the cocrystals .</w:t>
      </w:r>
    </w:p>
    <w:p>
      <w:pPr>
        <w:pStyle w:val="Heading6"/>
        <w:rPr>
          <w:b/>
          <w:b/>
        </w:rPr>
      </w:pPr>
      <w:r>
        <w:rPr>
          <w:b/>
        </w:rPr>
      </w:r>
    </w:p>
    <w:p>
      <w:pPr>
        <w:pStyle w:val="Heading6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222875" cy="2031365"/>
            <wp:effectExtent l="0" t="0" r="0" b="0"/>
            <wp:wrapTopAndBottom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5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F</w:t>
      </w:r>
      <w:r>
        <w:rPr>
          <w:b/>
        </w:rPr>
        <w:t>igure 1</w:t>
      </w:r>
      <w:r>
        <w:rPr/>
        <w:t>. New c</w:t>
      </w:r>
      <w:r>
        <w:rPr>
          <w:rFonts w:eastAsia="Times New Roman" w:cs="Times New Roman"/>
          <w:bCs/>
          <w:color w:val="auto"/>
          <w:kern w:val="0"/>
          <w:sz w:val="20"/>
          <w:szCs w:val="22"/>
          <w:lang w:val="en-GB" w:eastAsia="de-DE" w:bidi="ar-SA"/>
        </w:rPr>
        <w:t>ocrystals of 1,8-diacetyl-pyrene (bAP) with 1,2,4,5-tetra-cyano-benzene (TCNB)</w:t>
      </w:r>
    </w:p>
    <w:p>
      <w:pPr>
        <w:pStyle w:val="Normal"/>
        <w:rPr>
          <w:rFonts w:eastAsia="Times New Roman" w:cs="Times New Roman"/>
          <w:bCs/>
          <w:color w:val="auto"/>
          <w:kern w:val="0"/>
          <w:sz w:val="20"/>
          <w:szCs w:val="22"/>
          <w:lang w:val="en-GB" w:eastAsia="de-DE" w:bidi="ar-SA"/>
        </w:rPr>
      </w:pPr>
      <w:r>
        <w:rPr>
          <w:rFonts w:eastAsia="Times New Roman" w:cs="Times New Roman"/>
          <w:bCs/>
          <w:color w:val="auto"/>
          <w:kern w:val="0"/>
          <w:sz w:val="20"/>
          <w:szCs w:val="22"/>
          <w:lang w:val="en-GB" w:eastAsia="de-DE" w:bidi="ar-SA"/>
        </w:rPr>
      </w:r>
    </w:p>
    <w:p>
      <w:pPr>
        <w:pStyle w:val="Heading4"/>
        <w:rPr/>
      </w:pPr>
      <w:r>
        <w:rPr/>
        <w:t>[</w:t>
      </w:r>
      <w:r>
        <w:rPr>
          <w:sz w:val="18"/>
          <w:szCs w:val="18"/>
        </w:rPr>
        <w:t xml:space="preserve">1] .Sun, H.; Peng, J.; Zhao, K.; Usman, R.; Khan, A.; Wang, M. (2017) </w:t>
      </w:r>
      <w:r>
        <w:rPr>
          <w:i/>
          <w:iCs/>
          <w:sz w:val="18"/>
          <w:szCs w:val="18"/>
        </w:rPr>
        <w:t>Cryst Growth Des.,</w:t>
      </w:r>
      <w:r>
        <w:rPr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17</w:t>
      </w:r>
      <w:r>
        <w:rPr>
          <w:b w:val="false"/>
          <w:bCs w:val="false"/>
          <w:sz w:val="18"/>
          <w:szCs w:val="18"/>
        </w:rPr>
        <w:t xml:space="preserve">, </w:t>
      </w:r>
      <w:r>
        <w:rPr>
          <w:sz w:val="18"/>
          <w:szCs w:val="18"/>
        </w:rPr>
        <w:t>6684–6691</w:t>
      </w:r>
    </w:p>
    <w:p>
      <w:pPr>
        <w:pStyle w:val="Heading4"/>
        <w:rPr/>
      </w:pPr>
      <w:r>
        <w:rPr>
          <w:sz w:val="18"/>
          <w:szCs w:val="18"/>
        </w:rPr>
        <w:t>[</w:t>
      </w:r>
      <w:r>
        <w:rPr>
          <w:rFonts w:eastAsia="Times New Roman" w:cs="Times New Roman"/>
          <w:bCs/>
          <w:color w:val="auto"/>
          <w:kern w:val="0"/>
          <w:sz w:val="18"/>
          <w:szCs w:val="18"/>
          <w:lang w:val="en-GB" w:eastAsia="cs-CZ" w:bidi="ar-SA"/>
        </w:rPr>
        <w:t>2</w:t>
      </w:r>
      <w:r>
        <w:rPr>
          <w:sz w:val="18"/>
          <w:szCs w:val="18"/>
        </w:rPr>
        <w:t xml:space="preserve">] Jayatilaka, D. &amp; Dittrich, B. (2008). </w:t>
      </w:r>
      <w:r>
        <w:rPr>
          <w:i/>
          <w:iCs/>
          <w:sz w:val="18"/>
          <w:szCs w:val="18"/>
        </w:rPr>
        <w:t>Acta Cryst. A</w:t>
      </w:r>
      <w:r>
        <w:rPr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64</w:t>
      </w:r>
      <w:r>
        <w:rPr>
          <w:b w:val="false"/>
          <w:bCs w:val="false"/>
          <w:sz w:val="18"/>
          <w:szCs w:val="18"/>
        </w:rPr>
        <w:t>,</w:t>
      </w:r>
      <w:r>
        <w:rPr>
          <w:sz w:val="18"/>
          <w:szCs w:val="18"/>
        </w:rPr>
        <w:t>(3), 383-393</w:t>
      </w:r>
    </w:p>
    <w:p>
      <w:pPr>
        <w:pStyle w:val="Heading4"/>
        <w:rPr/>
      </w:pPr>
      <w:r>
        <w:rPr>
          <w:sz w:val="18"/>
          <w:szCs w:val="18"/>
        </w:rPr>
        <w:t>[</w:t>
      </w:r>
      <w:r>
        <w:rPr>
          <w:rFonts w:eastAsia="Times New Roman" w:cs="Times New Roman"/>
          <w:bCs/>
          <w:color w:val="auto"/>
          <w:kern w:val="0"/>
          <w:sz w:val="18"/>
          <w:szCs w:val="18"/>
          <w:lang w:val="en-GB" w:eastAsia="cs-CZ" w:bidi="ar-SA"/>
        </w:rPr>
        <w:t>3</w:t>
      </w:r>
      <w:r>
        <w:rPr>
          <w:sz w:val="18"/>
          <w:szCs w:val="18"/>
        </w:rPr>
        <w:t xml:space="preserve">] Clark, S. J., Segall, M. D., Pickard, C. J., Hasnip, P. J., Probert, M. I. J., Refson, K., Payne M. C. </w:t>
      </w:r>
      <w:r>
        <w:rPr>
          <w:i/>
          <w:iCs/>
          <w:sz w:val="18"/>
          <w:szCs w:val="18"/>
        </w:rPr>
        <w:t>Z. fur Krist.- Cryst. Mater</w:t>
      </w:r>
      <w:r>
        <w:rPr>
          <w:sz w:val="18"/>
          <w:szCs w:val="18"/>
        </w:rPr>
        <w:t xml:space="preserve">. (2005) </w:t>
      </w:r>
      <w:r>
        <w:rPr>
          <w:b/>
          <w:bCs/>
          <w:sz w:val="18"/>
          <w:szCs w:val="18"/>
        </w:rPr>
        <w:t>220</w:t>
      </w:r>
      <w:r>
        <w:rPr>
          <w:sz w:val="18"/>
          <w:szCs w:val="18"/>
        </w:rPr>
        <w:t>, 567–570</w:t>
      </w:r>
    </w:p>
    <w:p>
      <w:pPr>
        <w:pStyle w:val="Normal"/>
        <w:rPr/>
      </w:pPr>
      <w:r>
        <w:rPr>
          <w:sz w:val="18"/>
          <w:szCs w:val="18"/>
        </w:rPr>
        <w:t>[</w:t>
      </w:r>
      <w:r>
        <w:rPr>
          <w:rFonts w:eastAsia="Times New Roman" w:cs="Times New Roman"/>
          <w:color w:val="auto"/>
          <w:kern w:val="0"/>
          <w:sz w:val="18"/>
          <w:szCs w:val="18"/>
          <w:lang w:val="en-GB" w:eastAsia="de-DE" w:bidi="ar-SA"/>
        </w:rPr>
        <w:t>4</w:t>
      </w:r>
      <w:r>
        <w:rPr>
          <w:sz w:val="18"/>
          <w:szCs w:val="18"/>
        </w:rPr>
        <w:t xml:space="preserve">] Dovesi, Saunders, Roetti, Orlando, Zicovich-Wilson, Pascale, Doll, Harrison, Bush, D’Arco, Lunell, Causà, Noël, Maschio,Erba, Casassa, Rerat, Michel (2017), </w:t>
      </w:r>
      <w:r>
        <w:rPr>
          <w:i/>
          <w:iCs/>
          <w:sz w:val="18"/>
          <w:szCs w:val="18"/>
        </w:rPr>
        <w:t>CRYSTAL17 User’s Manual</w:t>
      </w:r>
      <w:r>
        <w:rPr>
          <w:sz w:val="18"/>
          <w:szCs w:val="18"/>
        </w:rPr>
        <w:t>, Torino</w:t>
      </w:r>
    </w:p>
    <w:p>
      <w:pPr>
        <w:pStyle w:val="Normal"/>
        <w:rPr/>
      </w:pPr>
      <w:r>
        <w:rPr>
          <w:sz w:val="18"/>
          <w:szCs w:val="18"/>
        </w:rPr>
        <w:t>[</w:t>
      </w:r>
      <w:r>
        <w:rPr>
          <w:rFonts w:eastAsia="Times New Roman" w:cs="Times New Roman"/>
          <w:color w:val="auto"/>
          <w:kern w:val="0"/>
          <w:sz w:val="18"/>
          <w:szCs w:val="18"/>
          <w:lang w:val="en-GB" w:eastAsia="de-DE" w:bidi="ar-SA"/>
        </w:rPr>
        <w:t>5</w:t>
      </w:r>
      <w:r>
        <w:rPr>
          <w:sz w:val="18"/>
          <w:szCs w:val="18"/>
        </w:rPr>
        <w:t xml:space="preserve">] Hoser, A. A. &amp; Madsen, A. Ø. (2016). </w:t>
      </w:r>
      <w:r>
        <w:rPr>
          <w:i/>
          <w:iCs/>
          <w:sz w:val="18"/>
          <w:szCs w:val="18"/>
        </w:rPr>
        <w:t xml:space="preserve">Acta Cryst. A </w:t>
      </w:r>
      <w:r>
        <w:rPr>
          <w:sz w:val="18"/>
          <w:szCs w:val="18"/>
        </w:rPr>
        <w:t xml:space="preserve">, </w:t>
      </w:r>
      <w:r>
        <w:rPr>
          <w:b/>
          <w:bCs/>
          <w:sz w:val="18"/>
          <w:szCs w:val="18"/>
        </w:rPr>
        <w:t>72</w:t>
      </w:r>
      <w:r>
        <w:rPr>
          <w:b w:val="false"/>
          <w:bCs w:val="false"/>
          <w:sz w:val="18"/>
          <w:szCs w:val="18"/>
        </w:rPr>
        <w:t>,</w:t>
      </w:r>
      <w:r>
        <w:rPr>
          <w:b/>
          <w:bCs/>
          <w:sz w:val="18"/>
          <w:szCs w:val="18"/>
        </w:rPr>
        <w:t xml:space="preserve"> </w:t>
      </w:r>
      <w:r>
        <w:rPr>
          <w:sz w:val="18"/>
          <w:szCs w:val="18"/>
        </w:rPr>
        <w:t>(2), 206-214</w:t>
      </w:r>
    </w:p>
    <w:p>
      <w:pPr>
        <w:pStyle w:val="Acknowledgement"/>
        <w:spacing w:before="0" w:after="120"/>
        <w:rPr/>
      </w:pPr>
      <w:r>
        <w:rPr>
          <w:sz w:val="20"/>
          <w:szCs w:val="20"/>
          <w:lang w:eastAsia="cs-CZ"/>
        </w:rPr>
        <w:t xml:space="preserve">We acknowledge financial support from National Science Foundation grant OPUS 2021/41/B/ST4/02760 and Poland’s high-performance computing infrastructure PLGrid for computational resources, grant </w:t>
      </w:r>
      <w:r>
        <w:rPr>
          <w:b w:val="false"/>
          <w:i/>
          <w:iCs/>
          <w:caps w:val="false"/>
          <w:smallCaps w:val="false"/>
          <w:color w:val="1E293B"/>
          <w:spacing w:val="0"/>
          <w:sz w:val="20"/>
          <w:szCs w:val="20"/>
          <w:lang w:eastAsia="cs-CZ"/>
        </w:rPr>
        <w:t xml:space="preserve">PLG/2024/017316. </w:t>
      </w:r>
      <w:r>
        <w:rPr>
          <w:b w:val="false"/>
          <w:i/>
          <w:iCs/>
          <w:caps w:val="false"/>
          <w:smallCaps w:val="false"/>
          <w:color w:val="1E293B"/>
          <w:spacing w:val="0"/>
          <w:sz w:val="20"/>
          <w:szCs w:val="20"/>
          <w:lang w:eastAsia="cs-CZ"/>
        </w:rPr>
        <w:t>The successive assistance of Liliana Siewierska i</w:t>
      </w:r>
      <w:r>
        <w:rPr>
          <w:rFonts w:eastAsia="Times New Roman" w:cs="Times New Roman"/>
          <w:b w:val="false"/>
          <w:i/>
          <w:iCs/>
          <w:caps w:val="false"/>
          <w:smallCaps w:val="false"/>
          <w:color w:val="1E293B"/>
          <w:spacing w:val="0"/>
          <w:kern w:val="0"/>
          <w:sz w:val="20"/>
          <w:szCs w:val="20"/>
          <w:lang w:val="en-GB" w:eastAsia="cs-CZ" w:bidi="ar-SA"/>
        </w:rPr>
        <w:t>during crystallization and in</w:t>
      </w:r>
      <w:r>
        <w:rPr>
          <w:b w:val="false"/>
          <w:i/>
          <w:iCs/>
          <w:caps w:val="false"/>
          <w:smallCaps w:val="false"/>
          <w:color w:val="1E293B"/>
          <w:spacing w:val="0"/>
          <w:sz w:val="20"/>
          <w:szCs w:val="20"/>
          <w:lang w:eastAsia="cs-CZ"/>
        </w:rPr>
        <w:t xml:space="preserve"> single crystal data collection is greatly appreciated.</w:t>
      </w:r>
    </w:p>
    <w:sectPr>
      <w:headerReference w:type="default" r:id="rId3"/>
      <w:footerReference w:type="default" r:id="rId4"/>
      <w:type w:val="nextPage"/>
      <w:pgSz w:w="12240" w:h="15840"/>
      <w:pgMar w:left="720" w:right="720" w:header="708" w:top="765" w:footer="708" w:bottom="765" w:gutter="0"/>
      <w:pgNumType w:fmt="decimal"/>
      <w:formProt w:val="false"/>
      <w:textDirection w:val="lrTb"/>
      <w:docGrid w:type="default" w:linePitch="272" w:charSpace="1638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rsfs10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spacing w:before="0" w:after="12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720"/>
        <w:tab w:val="center" w:pos="4703" w:leader="none"/>
        <w:tab w:val="right" w:pos="9406" w:leader="none"/>
      </w:tabs>
      <w:spacing w:before="0" w:after="120"/>
      <w:rPr/>
    </w:pPr>
    <w:r>
      <w:rPr>
        <w:b/>
        <w:bCs/>
      </w:rPr>
      <w:t>MS</w:t>
    </w:r>
    <w:r>
      <w:rPr/>
      <w:tab/>
    </w:r>
    <w:r>
      <w:rPr>
        <w:b/>
        <w:bCs/>
      </w:rPr>
      <w:t>Microsymposium</w:t>
    </w:r>
    <w:r>
      <w:rPr/>
      <w:tab/>
    </w:r>
  </w:p>
</w:hdr>
</file>

<file path=word/settings.xml><?xml version="1.0" encoding="utf-8"?>
<w:settings xmlns:w="http://schemas.openxmlformats.org/wordprocessingml/2006/main">
  <w:zoom w:percent="100"/>
  <w:embedSystemFonts/>
  <w:defaultTabStop w:val="720"/>
  <w:autoHyphenation w:val="true"/>
  <w:compat>
    <w:compatSetting w:name="compatibilityMode" w:uri="http://schemas.microsoft.com/office/word" w:val="11"/>
  </w:compat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en-GB" w:eastAsia="en-GB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5" w:uiPriority="9" w:semiHidden="1" w:unhideWhenUsed="1"/>
    <w:lsdException w:name="heading 6" w:uiPriority="9" w:semiHidden="1" w:unhideWhenUsed="1" w:qFormat="1"/>
    <w:lsdException w:name="heading 7" w:uiPriority="9" w:semiHidden="1" w:unhideWhenUsed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925275"/>
    <w:pPr>
      <w:widowControl/>
      <w:suppressAutoHyphens w:val="true"/>
      <w:bidi w:val="0"/>
      <w:spacing w:before="0" w:after="120"/>
      <w:jc w:val="both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en-GB" w:eastAsia="de-DE" w:bidi="ar-SA"/>
    </w:rPr>
  </w:style>
  <w:style w:type="paragraph" w:styleId="Heading1">
    <w:name w:val="Heading 1"/>
    <w:basedOn w:val="Normal"/>
    <w:next w:val="Heading2"/>
    <w:link w:val="Heading1Char"/>
    <w:uiPriority w:val="99"/>
    <w:qFormat/>
    <w:rsid w:val="00925275"/>
    <w:pPr>
      <w:keepNext w:val="true"/>
      <w:spacing w:before="240" w:after="60"/>
      <w:jc w:val="center"/>
      <w:outlineLvl w:val="0"/>
    </w:pPr>
    <w:rPr>
      <w:rFonts w:ascii="Arial" w:hAnsi="Arial" w:cs="Arial"/>
      <w:b/>
      <w:bCs/>
      <w:kern w:val="2"/>
      <w:sz w:val="24"/>
      <w:szCs w:val="32"/>
    </w:rPr>
  </w:style>
  <w:style w:type="paragraph" w:styleId="Heading2">
    <w:name w:val="Heading 2"/>
    <w:basedOn w:val="Normal"/>
    <w:next w:val="Heading3"/>
    <w:link w:val="Heading2Char"/>
    <w:uiPriority w:val="99"/>
    <w:qFormat/>
    <w:rsid w:val="00925275"/>
    <w:pPr>
      <w:keepNext w:val="true"/>
      <w:spacing w:before="240" w:after="240"/>
      <w:jc w:val="center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e03db"/>
    <w:pPr>
      <w:keepNext w:val="true"/>
      <w:jc w:val="center"/>
      <w:outlineLvl w:val="2"/>
    </w:pPr>
    <w:rPr>
      <w:bCs/>
      <w:i/>
      <w:szCs w:val="24"/>
      <w:lang w:eastAsia="cs-CZ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f732e"/>
    <w:pPr>
      <w:keepNext w:val="true"/>
      <w:ind w:left="567" w:hanging="567"/>
      <w:outlineLvl w:val="3"/>
    </w:pPr>
    <w:rPr>
      <w:bCs/>
      <w:sz w:val="18"/>
      <w:szCs w:val="24"/>
      <w:lang w:eastAsia="cs-CZ"/>
    </w:rPr>
  </w:style>
  <w:style w:type="paragraph" w:styleId="Heading5">
    <w:name w:val="Heading 5"/>
    <w:basedOn w:val="Heading6"/>
    <w:next w:val="Normal"/>
    <w:link w:val="Heading5Char"/>
    <w:uiPriority w:val="9"/>
    <w:unhideWhenUsed/>
    <w:qFormat/>
    <w:rsid w:val="00605a18"/>
    <w:pPr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77da8"/>
    <w:pPr>
      <w:spacing w:before="0" w:after="60"/>
      <w:jc w:val="center"/>
      <w:outlineLvl w:val="5"/>
    </w:pPr>
    <w:rPr>
      <w:bCs/>
      <w:szCs w:val="2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1Char" w:customStyle="1">
    <w:name w:val="Heading 1 Char"/>
    <w:link w:val="Heading1"/>
    <w:uiPriority w:val="99"/>
    <w:qFormat/>
    <w:locked/>
    <w:rsid w:val="00925275"/>
    <w:rPr>
      <w:rFonts w:ascii="Arial" w:hAnsi="Arial" w:cs="Arial"/>
      <w:b/>
      <w:bCs/>
      <w:kern w:val="2"/>
      <w:sz w:val="24"/>
      <w:szCs w:val="32"/>
      <w:lang w:val="en-GB" w:eastAsia="de-DE"/>
    </w:rPr>
  </w:style>
  <w:style w:type="character" w:styleId="Heading2Char" w:customStyle="1">
    <w:name w:val="Heading 2 Char"/>
    <w:link w:val="Heading2"/>
    <w:uiPriority w:val="99"/>
    <w:qFormat/>
    <w:locked/>
    <w:rsid w:val="00925275"/>
    <w:rPr>
      <w:rFonts w:ascii="Arial" w:hAnsi="Arial" w:cs="Arial"/>
      <w:b/>
      <w:bCs/>
      <w:iCs/>
      <w:sz w:val="22"/>
      <w:szCs w:val="28"/>
      <w:lang w:val="en-GB" w:eastAsia="de-DE"/>
    </w:rPr>
  </w:style>
  <w:style w:type="character" w:styleId="Heading3Char" w:customStyle="1">
    <w:name w:val="Heading 3 Char"/>
    <w:link w:val="Heading3"/>
    <w:uiPriority w:val="99"/>
    <w:qFormat/>
    <w:locked/>
    <w:rsid w:val="002e03db"/>
    <w:rPr>
      <w:bCs/>
      <w:i/>
      <w:sz w:val="22"/>
      <w:szCs w:val="24"/>
      <w:lang w:val="en-GB"/>
    </w:rPr>
  </w:style>
  <w:style w:type="character" w:styleId="Heading4Char" w:customStyle="1">
    <w:name w:val="Heading 4 Char"/>
    <w:link w:val="Heading4"/>
    <w:uiPriority w:val="99"/>
    <w:qFormat/>
    <w:locked/>
    <w:rsid w:val="00ff732e"/>
    <w:rPr>
      <w:bCs/>
      <w:sz w:val="18"/>
      <w:szCs w:val="24"/>
      <w:lang w:val="en-GB"/>
    </w:rPr>
  </w:style>
  <w:style w:type="character" w:styleId="HTMLAddressChar" w:customStyle="1">
    <w:name w:val="HTML Address Char"/>
    <w:link w:val="HTMLAddress"/>
    <w:uiPriority w:val="99"/>
    <w:semiHidden/>
    <w:qFormat/>
    <w:rsid w:val="005e6dcd"/>
    <w:rPr>
      <w:i/>
      <w:iCs/>
      <w:lang w:val="de-DE" w:eastAsia="de-DE"/>
    </w:rPr>
  </w:style>
  <w:style w:type="character" w:styleId="Heading5Char" w:customStyle="1">
    <w:name w:val="Heading 5 Char"/>
    <w:link w:val="Heading5"/>
    <w:uiPriority w:val="9"/>
    <w:qFormat/>
    <w:rsid w:val="00605a18"/>
    <w:rPr>
      <w:b/>
      <w:bCs/>
      <w:szCs w:val="22"/>
      <w:lang w:val="en-GB" w:eastAsia="de-DE"/>
    </w:rPr>
  </w:style>
  <w:style w:type="character" w:styleId="Heading6Char" w:customStyle="1">
    <w:name w:val="Heading 6 Char"/>
    <w:link w:val="Heading6"/>
    <w:uiPriority w:val="9"/>
    <w:qFormat/>
    <w:rsid w:val="00777da8"/>
    <w:rPr>
      <w:rFonts w:eastAsia="Times New Roman" w:cs="Times New Roman"/>
      <w:bCs/>
      <w:szCs w:val="22"/>
      <w:lang w:val="de-DE" w:eastAsia="de-DE"/>
    </w:rPr>
  </w:style>
  <w:style w:type="character" w:styleId="HeaderChar" w:customStyle="1">
    <w:name w:val="Header Char"/>
    <w:link w:val="Header"/>
    <w:uiPriority w:val="99"/>
    <w:qFormat/>
    <w:rsid w:val="00d13351"/>
    <w:rPr>
      <w:lang w:val="en-GB" w:eastAsia="de-DE"/>
    </w:rPr>
  </w:style>
  <w:style w:type="character" w:styleId="FooterChar" w:customStyle="1">
    <w:name w:val="Footer Char"/>
    <w:link w:val="Footer"/>
    <w:uiPriority w:val="99"/>
    <w:qFormat/>
    <w:rsid w:val="00d13351"/>
    <w:rPr>
      <w:lang w:val="en-GB" w:eastAsia="de-DE"/>
    </w:rPr>
  </w:style>
  <w:style w:type="character" w:styleId="BalloonTextChar" w:customStyle="1">
    <w:name w:val="Balloon Text Char"/>
    <w:link w:val="BalloonText"/>
    <w:uiPriority w:val="99"/>
    <w:semiHidden/>
    <w:qFormat/>
    <w:rsid w:val="00c64dbe"/>
    <w:rPr>
      <w:rFonts w:ascii="Tahoma" w:hAnsi="Tahoma" w:cs="Tahoma"/>
      <w:sz w:val="16"/>
      <w:szCs w:val="16"/>
      <w:lang w:val="en-GB" w:eastAsia="de-DE"/>
    </w:rPr>
  </w:style>
  <w:style w:type="character" w:styleId="Emphasis">
    <w:name w:val="Emphasis"/>
    <w:qFormat/>
    <w:rPr>
      <w:i/>
      <w:iCs/>
    </w:rPr>
  </w:style>
  <w:style w:type="paragraph" w:styleId="Heading" w:customStyle="1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Lohit Devanagari"/>
    </w:rPr>
  </w:style>
  <w:style w:type="paragraph" w:styleId="Caption1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cknowledgement" w:customStyle="1">
    <w:name w:val="Acknowledgement"/>
    <w:basedOn w:val="Normal"/>
    <w:qFormat/>
    <w:rsid w:val="00777da8"/>
    <w:pPr/>
    <w:rPr>
      <w:i/>
    </w:rPr>
  </w:style>
  <w:style w:type="paragraph" w:styleId="HTMLAddress">
    <w:name w:val="HTML Address"/>
    <w:basedOn w:val="Normal"/>
    <w:link w:val="HTMLAddressChar"/>
    <w:uiPriority w:val="99"/>
    <w:semiHidden/>
    <w:unhideWhenUsed/>
    <w:qFormat/>
    <w:rsid w:val="005e6dcd"/>
    <w:pPr/>
    <w:rPr>
      <w:i/>
      <w:iCs/>
    </w:rPr>
  </w:style>
  <w:style w:type="paragraph" w:styleId="HeaderandFooter" w:customStyle="1">
    <w:name w:val="Header and Footer"/>
    <w:basedOn w:val="Normal"/>
    <w:qFormat/>
    <w:pPr/>
    <w:rPr/>
  </w:style>
  <w:style w:type="paragraph" w:styleId="Header">
    <w:name w:val="Header"/>
    <w:basedOn w:val="Normal"/>
    <w:link w:val="HeaderChar"/>
    <w:uiPriority w:val="99"/>
    <w:unhideWhenUsed/>
    <w:rsid w:val="00d13351"/>
    <w:pPr>
      <w:tabs>
        <w:tab w:val="clear" w:pos="720"/>
        <w:tab w:val="center" w:pos="4536" w:leader="none"/>
        <w:tab w:val="right" w:pos="9072" w:leader="none"/>
      </w:tabs>
    </w:pPr>
    <w:rPr/>
  </w:style>
  <w:style w:type="paragraph" w:styleId="Footer">
    <w:name w:val="Footer"/>
    <w:basedOn w:val="Normal"/>
    <w:link w:val="FooterChar"/>
    <w:uiPriority w:val="99"/>
    <w:unhideWhenUsed/>
    <w:rsid w:val="00d13351"/>
    <w:pPr>
      <w:tabs>
        <w:tab w:val="clear" w:pos="720"/>
        <w:tab w:val="center" w:pos="4536" w:leader="none"/>
        <w:tab w:val="right" w:pos="9072" w:leader="none"/>
      </w:tabs>
    </w:pPr>
    <w:rPr/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c64dbe"/>
    <w:pPr>
      <w:spacing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99"/>
    <w:rsid w:val="00c263b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21E0AE-6DDE-4FDB-AD25-D0DA1D2E6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Application>LibreOffice/6.4.7.2$Linux_X86_64 LibreOffice_project/40$Build-2</Application>
  <Pages>1</Pages>
  <Words>453</Words>
  <Characters>2130</Characters>
  <CharactersWithSpaces>2565</CharactersWithSpaces>
  <Paragraphs>22</Paragraphs>
  <Company>MFF UK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2019-09-04T15:26:00Z</dcterms:created>
  <dc:creator>Uživatel systému Windows</dc:creator>
  <dc:description/>
  <dc:language>en-GB</dc:language>
  <cp:lastModifiedBy/>
  <dcterms:modified xsi:type="dcterms:W3CDTF">2025-05-08T13:19:21Z</dcterms:modified>
  <cp:revision>25</cp:revision>
  <dc:subject/>
  <dc:title>Materials Structure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MFF UK</vt:lpwstr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