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40EF" w14:textId="7C054E76" w:rsidR="002F3038" w:rsidRDefault="002F3038" w:rsidP="002F3038">
      <w:pPr>
        <w:pStyle w:val="Nagwek2"/>
        <w:rPr>
          <w:iCs w:val="0"/>
          <w:kern w:val="2"/>
          <w:sz w:val="24"/>
          <w:szCs w:val="32"/>
        </w:rPr>
      </w:pPr>
      <w:r w:rsidRPr="002F3038">
        <w:rPr>
          <w:iCs w:val="0"/>
          <w:kern w:val="2"/>
          <w:sz w:val="24"/>
          <w:szCs w:val="32"/>
        </w:rPr>
        <w:t xml:space="preserve">From Model Compounds to Complex Reality: </w:t>
      </w:r>
      <w:r>
        <w:rPr>
          <w:iCs w:val="0"/>
          <w:kern w:val="2"/>
          <w:sz w:val="24"/>
          <w:szCs w:val="32"/>
        </w:rPr>
        <w:br/>
      </w:r>
      <w:r w:rsidRPr="002F3038">
        <w:rPr>
          <w:iCs w:val="0"/>
          <w:kern w:val="2"/>
          <w:sz w:val="24"/>
          <w:szCs w:val="32"/>
        </w:rPr>
        <w:t>Structural Accuracy as a Foundation for Property Prediction</w:t>
      </w:r>
    </w:p>
    <w:p w14:paraId="57DADE41" w14:textId="77777777" w:rsidR="002F3038" w:rsidRDefault="002F3038">
      <w:pPr>
        <w:pStyle w:val="Nagwek3"/>
        <w:rPr>
          <w:rFonts w:ascii="Arial" w:hAnsi="Arial" w:cs="Arial"/>
          <w:b/>
          <w:i w:val="0"/>
          <w:iCs/>
          <w:szCs w:val="28"/>
          <w:lang w:eastAsia="de-DE"/>
        </w:rPr>
      </w:pPr>
      <w:r w:rsidRPr="002F3038">
        <w:rPr>
          <w:rFonts w:ascii="Arial" w:hAnsi="Arial" w:cs="Arial"/>
          <w:b/>
          <w:i w:val="0"/>
          <w:iCs/>
          <w:szCs w:val="28"/>
          <w:lang w:eastAsia="de-DE"/>
        </w:rPr>
        <w:t>H. Butkiewicz</w:t>
      </w:r>
      <w:r w:rsidRPr="002F3038">
        <w:rPr>
          <w:rFonts w:ascii="Arial" w:hAnsi="Arial" w:cs="Arial"/>
          <w:b/>
          <w:i w:val="0"/>
          <w:iCs/>
          <w:szCs w:val="28"/>
          <w:vertAlign w:val="superscript"/>
          <w:lang w:eastAsia="de-DE"/>
        </w:rPr>
        <w:t>1</w:t>
      </w:r>
      <w:r w:rsidRPr="002F3038">
        <w:rPr>
          <w:rFonts w:ascii="Arial" w:hAnsi="Arial" w:cs="Arial"/>
          <w:b/>
          <w:i w:val="0"/>
          <w:iCs/>
          <w:szCs w:val="28"/>
          <w:lang w:eastAsia="de-DE"/>
        </w:rPr>
        <w:t>, M. Pęczek</w:t>
      </w:r>
      <w:r w:rsidRPr="002F3038">
        <w:rPr>
          <w:rFonts w:ascii="Arial" w:hAnsi="Arial" w:cs="Arial"/>
          <w:b/>
          <w:i w:val="0"/>
          <w:iCs/>
          <w:szCs w:val="28"/>
          <w:vertAlign w:val="superscript"/>
          <w:lang w:eastAsia="de-DE"/>
        </w:rPr>
        <w:t>1</w:t>
      </w:r>
      <w:r w:rsidRPr="002F3038">
        <w:rPr>
          <w:rFonts w:ascii="Arial" w:hAnsi="Arial" w:cs="Arial"/>
          <w:b/>
          <w:i w:val="0"/>
          <w:iCs/>
          <w:szCs w:val="28"/>
          <w:lang w:eastAsia="de-DE"/>
        </w:rPr>
        <w:t>, T. Bizoń</w:t>
      </w:r>
      <w:r w:rsidRPr="002F3038">
        <w:rPr>
          <w:rFonts w:ascii="Arial" w:hAnsi="Arial" w:cs="Arial"/>
          <w:b/>
          <w:i w:val="0"/>
          <w:iCs/>
          <w:szCs w:val="28"/>
          <w:vertAlign w:val="superscript"/>
          <w:lang w:eastAsia="de-DE"/>
        </w:rPr>
        <w:t>1</w:t>
      </w:r>
      <w:r w:rsidRPr="002F3038">
        <w:rPr>
          <w:rFonts w:ascii="Arial" w:hAnsi="Arial" w:cs="Arial"/>
          <w:b/>
          <w:i w:val="0"/>
          <w:iCs/>
          <w:szCs w:val="28"/>
          <w:lang w:eastAsia="de-DE"/>
        </w:rPr>
        <w:t>, D. Trzybiński</w:t>
      </w:r>
      <w:r w:rsidRPr="002F3038">
        <w:rPr>
          <w:rFonts w:ascii="Arial" w:hAnsi="Arial" w:cs="Arial"/>
          <w:b/>
          <w:i w:val="0"/>
          <w:iCs/>
          <w:szCs w:val="28"/>
          <w:vertAlign w:val="superscript"/>
          <w:lang w:eastAsia="de-DE"/>
        </w:rPr>
        <w:t>1</w:t>
      </w:r>
      <w:r w:rsidRPr="002F3038">
        <w:rPr>
          <w:rFonts w:ascii="Arial" w:hAnsi="Arial" w:cs="Arial"/>
          <w:b/>
          <w:i w:val="0"/>
          <w:iCs/>
          <w:szCs w:val="28"/>
          <w:lang w:eastAsia="de-DE"/>
        </w:rPr>
        <w:t>, M. Malinska</w:t>
      </w:r>
      <w:r w:rsidRPr="002F3038">
        <w:rPr>
          <w:rFonts w:ascii="Arial" w:hAnsi="Arial" w:cs="Arial"/>
          <w:b/>
          <w:i w:val="0"/>
          <w:iCs/>
          <w:szCs w:val="28"/>
          <w:vertAlign w:val="superscript"/>
          <w:lang w:eastAsia="de-DE"/>
        </w:rPr>
        <w:t>1</w:t>
      </w:r>
      <w:r w:rsidRPr="002F3038">
        <w:rPr>
          <w:rFonts w:ascii="Arial" w:hAnsi="Arial" w:cs="Arial"/>
          <w:b/>
          <w:i w:val="0"/>
          <w:iCs/>
          <w:szCs w:val="28"/>
          <w:lang w:eastAsia="de-DE"/>
        </w:rPr>
        <w:t>, A. Ø. Madsen</w:t>
      </w:r>
      <w:r w:rsidRPr="002F3038">
        <w:rPr>
          <w:rFonts w:ascii="Arial" w:hAnsi="Arial" w:cs="Arial"/>
          <w:b/>
          <w:i w:val="0"/>
          <w:iCs/>
          <w:szCs w:val="28"/>
          <w:vertAlign w:val="superscript"/>
          <w:lang w:eastAsia="de-DE"/>
        </w:rPr>
        <w:t>2</w:t>
      </w:r>
      <w:r w:rsidRPr="002F3038">
        <w:rPr>
          <w:rFonts w:ascii="Arial" w:hAnsi="Arial" w:cs="Arial"/>
          <w:b/>
          <w:i w:val="0"/>
          <w:iCs/>
          <w:szCs w:val="28"/>
          <w:lang w:eastAsia="de-DE"/>
        </w:rPr>
        <w:t>, A. A. Hoser</w:t>
      </w:r>
      <w:r w:rsidRPr="002F3038">
        <w:rPr>
          <w:rFonts w:ascii="Arial" w:hAnsi="Arial" w:cs="Arial"/>
          <w:b/>
          <w:i w:val="0"/>
          <w:iCs/>
          <w:szCs w:val="28"/>
          <w:vertAlign w:val="superscript"/>
          <w:lang w:eastAsia="de-DE"/>
        </w:rPr>
        <w:t>1</w:t>
      </w:r>
    </w:p>
    <w:p w14:paraId="5B539A02" w14:textId="6C08B56E" w:rsidR="00542C93" w:rsidRPr="002F3038" w:rsidRDefault="002F3038" w:rsidP="002F3038">
      <w:pPr>
        <w:pStyle w:val="Nagwek3"/>
      </w:pPr>
      <w:r w:rsidRPr="002F3038">
        <w:rPr>
          <w:vertAlign w:val="superscript"/>
        </w:rPr>
        <w:t>1</w:t>
      </w:r>
      <w:r w:rsidRPr="002F3038">
        <w:t>University of Warsaw, Faculty of Chemistry, Warsaw, Poland</w:t>
      </w:r>
      <w:r>
        <w:t xml:space="preserve">, </w:t>
      </w:r>
      <w:r w:rsidRPr="002F3038">
        <w:rPr>
          <w:vertAlign w:val="superscript"/>
        </w:rPr>
        <w:t>2</w:t>
      </w:r>
      <w:r w:rsidRPr="002F3038">
        <w:t>University of Copenhagen, Department of Pharmacy, Copenhagen, Denmark</w:t>
      </w:r>
    </w:p>
    <w:p w14:paraId="31481D96" w14:textId="441870B2" w:rsidR="00542C93" w:rsidRDefault="002F3038">
      <w:pPr>
        <w:pStyle w:val="Nagwek3"/>
        <w:rPr>
          <w:sz w:val="18"/>
          <w:szCs w:val="18"/>
        </w:rPr>
      </w:pPr>
      <w:r>
        <w:t>b.helena@uw.edu.pl</w:t>
      </w:r>
      <w:r w:rsidR="00C84C28">
        <w:rPr>
          <w:lang w:eastAsia="de-DE"/>
        </w:rPr>
        <w:br/>
      </w:r>
    </w:p>
    <w:p w14:paraId="753D9631" w14:textId="32E7E343" w:rsidR="002F3038" w:rsidRDefault="002F3038" w:rsidP="002F3038">
      <w:r>
        <w:t>Polymorphism plays a key role in determining the physicochemical properties of crystalline materials, yet accurately capturing the</w:t>
      </w:r>
      <w:r>
        <w:t> </w:t>
      </w:r>
      <w:r>
        <w:t>structural subtleties that distinguish one form from another remains challenging. This complexity becomes especially important when predicting thermodynamic stability, which requires accounting not only for lattice energy but also for molecular vibrations. These vibrational contributions to enthalpy and entropy—captured through normal mode analysis—are important for estimating free energy and phase transitions. However, for complex molecular crystals, such calculations remain computationally demanding, particularly due to the difficulty in accurately describing low-frequency modes.</w:t>
      </w:r>
    </w:p>
    <w:p w14:paraId="56B7C4B2" w14:textId="0E0A69BB" w:rsidR="002F3038" w:rsidRDefault="002F3038" w:rsidP="002F3038">
      <w:r>
        <w:t xml:space="preserve">To address this, we developed </w:t>
      </w:r>
      <w:proofErr w:type="spellStart"/>
      <w:r>
        <w:t>NoMoRe</w:t>
      </w:r>
      <w:proofErr w:type="spellEnd"/>
      <w:r>
        <w:t xml:space="preserve"> [1], a refinement method refines vibrational frequencies from periodic DFT calculations against single-crystal X-ray data rather than conventional ADPs, offering improved insight into thermal motion within the</w:t>
      </w:r>
      <w:r>
        <w:t> </w:t>
      </w:r>
      <w:r>
        <w:t xml:space="preserve">Independent Atom Model (IAM). We further extended this approach to </w:t>
      </w:r>
      <w:proofErr w:type="spellStart"/>
      <w:r>
        <w:t>AAM_NoMoRe</w:t>
      </w:r>
      <w:proofErr w:type="spellEnd"/>
      <w:r>
        <w:t xml:space="preserve"> [2], combining it with advanced aspherical atom models (</w:t>
      </w:r>
      <w:proofErr w:type="spellStart"/>
      <w:r>
        <w:t>Hirshfeld</w:t>
      </w:r>
      <w:proofErr w:type="spellEnd"/>
      <w:r>
        <w:t xml:space="preserve"> Atom Refinement (HAR) [3] or Transferable Aspherical Atom Model (TAAM) [4]), to provide a</w:t>
      </w:r>
      <w:r>
        <w:t> </w:t>
      </w:r>
      <w:r>
        <w:t>more realistic description of both hydrogen positions and thermodynamic properties.</w:t>
      </w:r>
    </w:p>
    <w:p w14:paraId="6301B3E8" w14:textId="77777777" w:rsidR="002F3038" w:rsidRDefault="002F3038" w:rsidP="002F3038">
      <w:r>
        <w:t xml:space="preserve">We applied </w:t>
      </w:r>
      <w:proofErr w:type="spellStart"/>
      <w:r>
        <w:t>AAM_NoMoRe</w:t>
      </w:r>
      <w:proofErr w:type="spellEnd"/>
      <w:r>
        <w:t xml:space="preserve"> to classical polymorphic systems such as alanine, glycine, and glutamic acid, achieving improved structural fits and accurate prediction of temperature-dependent properties like heat capacity [2]. For glutamic acid, the calculated Gibbs free energy curves successfully reproduced the known phase transition between the α and β forms.</w:t>
      </w:r>
    </w:p>
    <w:p w14:paraId="41021647" w14:textId="77777777" w:rsidR="002F3038" w:rsidRDefault="002F3038" w:rsidP="002F3038">
      <w:r>
        <w:t>Encouraged by these results, we investigated a more complex system—oxytetracycline hydrochloride (</w:t>
      </w:r>
      <w:proofErr w:type="spellStart"/>
      <w:r>
        <w:t>OxyCl</w:t>
      </w:r>
      <w:proofErr w:type="spellEnd"/>
      <w:r>
        <w:t>)—where large solubility differences were reported between two forms initially thought to be classical polymorphs [5]. Single-crystal XRD analysis revealed, however, that the forms were not true polymorphs, but rather an anhydrous salt and its hydrate. Additional solvated and hydrated forms were also characterized, underscoring the role of hydration, not polymorphism, in driving solubility.</w:t>
      </w:r>
    </w:p>
    <w:p w14:paraId="476EF6E8" w14:textId="77777777" w:rsidR="002F3038" w:rsidRPr="002F3038" w:rsidRDefault="002F3038" w:rsidP="002F3038">
      <w:pPr>
        <w:pStyle w:val="Acknowledgement"/>
        <w:rPr>
          <w:bCs/>
          <w:i w:val="0"/>
          <w:sz w:val="18"/>
          <w:szCs w:val="24"/>
          <w:lang w:eastAsia="cs-CZ"/>
        </w:rPr>
      </w:pPr>
      <w:r w:rsidRPr="002F3038">
        <w:rPr>
          <w:bCs/>
          <w:i w:val="0"/>
          <w:sz w:val="18"/>
          <w:szCs w:val="24"/>
          <w:lang w:eastAsia="cs-CZ"/>
        </w:rPr>
        <w:t xml:space="preserve">[1] </w:t>
      </w:r>
      <w:proofErr w:type="spellStart"/>
      <w:r w:rsidRPr="002F3038">
        <w:rPr>
          <w:bCs/>
          <w:i w:val="0"/>
          <w:sz w:val="18"/>
          <w:szCs w:val="24"/>
          <w:lang w:eastAsia="cs-CZ"/>
        </w:rPr>
        <w:t>Hoser</w:t>
      </w:r>
      <w:proofErr w:type="spellEnd"/>
      <w:r w:rsidRPr="002F3038">
        <w:rPr>
          <w:bCs/>
          <w:i w:val="0"/>
          <w:sz w:val="18"/>
          <w:szCs w:val="24"/>
          <w:lang w:eastAsia="cs-CZ"/>
        </w:rPr>
        <w:t xml:space="preserve"> A.A., Madsen A.Ø. (2016). Acta </w:t>
      </w:r>
      <w:proofErr w:type="spellStart"/>
      <w:r w:rsidRPr="002F3038">
        <w:rPr>
          <w:bCs/>
          <w:i w:val="0"/>
          <w:sz w:val="18"/>
          <w:szCs w:val="24"/>
          <w:lang w:eastAsia="cs-CZ"/>
        </w:rPr>
        <w:t>Cryst</w:t>
      </w:r>
      <w:proofErr w:type="spellEnd"/>
      <w:r w:rsidRPr="002F3038">
        <w:rPr>
          <w:bCs/>
          <w:i w:val="0"/>
          <w:sz w:val="18"/>
          <w:szCs w:val="24"/>
          <w:lang w:eastAsia="cs-CZ"/>
        </w:rPr>
        <w:t>. A, 72, 206.</w:t>
      </w:r>
    </w:p>
    <w:p w14:paraId="0702F54E" w14:textId="77777777" w:rsidR="002F3038" w:rsidRPr="002F3038" w:rsidRDefault="002F3038" w:rsidP="002F3038">
      <w:pPr>
        <w:pStyle w:val="Acknowledgement"/>
        <w:rPr>
          <w:bCs/>
          <w:i w:val="0"/>
          <w:sz w:val="18"/>
          <w:szCs w:val="24"/>
          <w:lang w:eastAsia="cs-CZ"/>
        </w:rPr>
      </w:pPr>
      <w:r w:rsidRPr="002F3038">
        <w:rPr>
          <w:bCs/>
          <w:i w:val="0"/>
          <w:sz w:val="18"/>
          <w:szCs w:val="24"/>
          <w:lang w:eastAsia="cs-CZ"/>
        </w:rPr>
        <w:t xml:space="preserve">[2] Butkiewicz H., </w:t>
      </w:r>
      <w:proofErr w:type="spellStart"/>
      <w:r w:rsidRPr="002F3038">
        <w:rPr>
          <w:bCs/>
          <w:i w:val="0"/>
          <w:sz w:val="18"/>
          <w:szCs w:val="24"/>
          <w:lang w:eastAsia="cs-CZ"/>
        </w:rPr>
        <w:t>Chodkiewicz</w:t>
      </w:r>
      <w:proofErr w:type="spellEnd"/>
      <w:r w:rsidRPr="002F3038">
        <w:rPr>
          <w:bCs/>
          <w:i w:val="0"/>
          <w:sz w:val="18"/>
          <w:szCs w:val="24"/>
          <w:lang w:eastAsia="cs-CZ"/>
        </w:rPr>
        <w:t xml:space="preserve"> M.L., Madsen A.Ø., </w:t>
      </w:r>
      <w:proofErr w:type="spellStart"/>
      <w:r w:rsidRPr="002F3038">
        <w:rPr>
          <w:bCs/>
          <w:i w:val="0"/>
          <w:sz w:val="18"/>
          <w:szCs w:val="24"/>
          <w:lang w:eastAsia="cs-CZ"/>
        </w:rPr>
        <w:t>Hoser</w:t>
      </w:r>
      <w:proofErr w:type="spellEnd"/>
      <w:r w:rsidRPr="002F3038">
        <w:rPr>
          <w:bCs/>
          <w:i w:val="0"/>
          <w:sz w:val="18"/>
          <w:szCs w:val="24"/>
          <w:lang w:eastAsia="cs-CZ"/>
        </w:rPr>
        <w:t xml:space="preserve"> A.A. (2025). </w:t>
      </w:r>
      <w:proofErr w:type="spellStart"/>
      <w:r w:rsidRPr="002F3038">
        <w:rPr>
          <w:bCs/>
          <w:i w:val="0"/>
          <w:sz w:val="18"/>
          <w:szCs w:val="24"/>
          <w:lang w:eastAsia="cs-CZ"/>
        </w:rPr>
        <w:t>IUCrJ</w:t>
      </w:r>
      <w:proofErr w:type="spellEnd"/>
      <w:r w:rsidRPr="002F3038">
        <w:rPr>
          <w:bCs/>
          <w:i w:val="0"/>
          <w:sz w:val="18"/>
          <w:szCs w:val="24"/>
          <w:lang w:eastAsia="cs-CZ"/>
        </w:rPr>
        <w:t>, 12, 123.</w:t>
      </w:r>
    </w:p>
    <w:p w14:paraId="17896EB4" w14:textId="77777777" w:rsidR="002F3038" w:rsidRPr="002F3038" w:rsidRDefault="002F3038" w:rsidP="002F3038">
      <w:pPr>
        <w:pStyle w:val="Acknowledgement"/>
        <w:rPr>
          <w:bCs/>
          <w:i w:val="0"/>
          <w:sz w:val="18"/>
          <w:szCs w:val="24"/>
          <w:lang w:val="pl-PL" w:eastAsia="cs-CZ"/>
        </w:rPr>
      </w:pPr>
      <w:r w:rsidRPr="002F3038">
        <w:rPr>
          <w:bCs/>
          <w:i w:val="0"/>
          <w:sz w:val="18"/>
          <w:szCs w:val="24"/>
          <w:lang w:eastAsia="cs-CZ"/>
        </w:rPr>
        <w:t xml:space="preserve">[3] </w:t>
      </w:r>
      <w:proofErr w:type="spellStart"/>
      <w:r w:rsidRPr="002F3038">
        <w:rPr>
          <w:bCs/>
          <w:i w:val="0"/>
          <w:sz w:val="18"/>
          <w:szCs w:val="24"/>
          <w:lang w:eastAsia="cs-CZ"/>
        </w:rPr>
        <w:t>Capelli</w:t>
      </w:r>
      <w:proofErr w:type="spellEnd"/>
      <w:r w:rsidRPr="002F3038">
        <w:rPr>
          <w:bCs/>
          <w:i w:val="0"/>
          <w:sz w:val="18"/>
          <w:szCs w:val="24"/>
          <w:lang w:eastAsia="cs-CZ"/>
        </w:rPr>
        <w:t xml:space="preserve"> S.C., </w:t>
      </w:r>
      <w:proofErr w:type="spellStart"/>
      <w:r w:rsidRPr="002F3038">
        <w:rPr>
          <w:bCs/>
          <w:i w:val="0"/>
          <w:sz w:val="18"/>
          <w:szCs w:val="24"/>
          <w:lang w:eastAsia="cs-CZ"/>
        </w:rPr>
        <w:t>Burgi</w:t>
      </w:r>
      <w:proofErr w:type="spellEnd"/>
      <w:r w:rsidRPr="002F3038">
        <w:rPr>
          <w:bCs/>
          <w:i w:val="0"/>
          <w:sz w:val="18"/>
          <w:szCs w:val="24"/>
          <w:lang w:eastAsia="cs-CZ"/>
        </w:rPr>
        <w:t xml:space="preserve"> H.-B., Dittrich B., </w:t>
      </w:r>
      <w:proofErr w:type="spellStart"/>
      <w:r w:rsidRPr="002F3038">
        <w:rPr>
          <w:bCs/>
          <w:i w:val="0"/>
          <w:sz w:val="18"/>
          <w:szCs w:val="24"/>
          <w:lang w:eastAsia="cs-CZ"/>
        </w:rPr>
        <w:t>Grabowsky</w:t>
      </w:r>
      <w:proofErr w:type="spellEnd"/>
      <w:r w:rsidRPr="002F3038">
        <w:rPr>
          <w:bCs/>
          <w:i w:val="0"/>
          <w:sz w:val="18"/>
          <w:szCs w:val="24"/>
          <w:lang w:eastAsia="cs-CZ"/>
        </w:rPr>
        <w:t xml:space="preserve"> S. &amp; </w:t>
      </w:r>
      <w:proofErr w:type="spellStart"/>
      <w:r w:rsidRPr="002F3038">
        <w:rPr>
          <w:bCs/>
          <w:i w:val="0"/>
          <w:sz w:val="18"/>
          <w:szCs w:val="24"/>
          <w:lang w:eastAsia="cs-CZ"/>
        </w:rPr>
        <w:t>Jayatilaka</w:t>
      </w:r>
      <w:proofErr w:type="spellEnd"/>
      <w:r w:rsidRPr="002F3038">
        <w:rPr>
          <w:bCs/>
          <w:i w:val="0"/>
          <w:sz w:val="18"/>
          <w:szCs w:val="24"/>
          <w:lang w:eastAsia="cs-CZ"/>
        </w:rPr>
        <w:t xml:space="preserve"> D. (2014). </w:t>
      </w:r>
      <w:proofErr w:type="spellStart"/>
      <w:r w:rsidRPr="002F3038">
        <w:rPr>
          <w:bCs/>
          <w:i w:val="0"/>
          <w:sz w:val="18"/>
          <w:szCs w:val="24"/>
          <w:lang w:val="pl-PL" w:eastAsia="cs-CZ"/>
        </w:rPr>
        <w:t>IUCrJ</w:t>
      </w:r>
      <w:proofErr w:type="spellEnd"/>
      <w:r w:rsidRPr="002F3038">
        <w:rPr>
          <w:bCs/>
          <w:i w:val="0"/>
          <w:sz w:val="18"/>
          <w:szCs w:val="24"/>
          <w:lang w:val="pl-PL" w:eastAsia="cs-CZ"/>
        </w:rPr>
        <w:t>, 1, 361.</w:t>
      </w:r>
    </w:p>
    <w:p w14:paraId="0E68C02B" w14:textId="77777777" w:rsidR="002F3038" w:rsidRPr="002F3038" w:rsidRDefault="002F3038" w:rsidP="002F3038">
      <w:pPr>
        <w:pStyle w:val="Acknowledgement"/>
        <w:rPr>
          <w:bCs/>
          <w:i w:val="0"/>
          <w:sz w:val="18"/>
          <w:szCs w:val="24"/>
          <w:lang w:eastAsia="cs-CZ"/>
        </w:rPr>
      </w:pPr>
      <w:r w:rsidRPr="002F3038">
        <w:rPr>
          <w:bCs/>
          <w:i w:val="0"/>
          <w:sz w:val="18"/>
          <w:szCs w:val="24"/>
          <w:lang w:val="pl-PL" w:eastAsia="cs-CZ"/>
        </w:rPr>
        <w:t xml:space="preserve">[4] </w:t>
      </w:r>
      <w:proofErr w:type="spellStart"/>
      <w:r w:rsidRPr="002F3038">
        <w:rPr>
          <w:bCs/>
          <w:i w:val="0"/>
          <w:sz w:val="18"/>
          <w:szCs w:val="24"/>
          <w:lang w:val="pl-PL" w:eastAsia="cs-CZ"/>
        </w:rPr>
        <w:t>Jha</w:t>
      </w:r>
      <w:proofErr w:type="spellEnd"/>
      <w:r w:rsidRPr="002F3038">
        <w:rPr>
          <w:bCs/>
          <w:i w:val="0"/>
          <w:sz w:val="18"/>
          <w:szCs w:val="24"/>
          <w:lang w:val="pl-PL" w:eastAsia="cs-CZ"/>
        </w:rPr>
        <w:t xml:space="preserve"> K.K., Gruza B., Kumar P., Chodkiewicz M.L. &amp; Dominiak, P.M. (2020). </w:t>
      </w:r>
      <w:r w:rsidRPr="002F3038">
        <w:rPr>
          <w:bCs/>
          <w:i w:val="0"/>
          <w:sz w:val="18"/>
          <w:szCs w:val="24"/>
          <w:lang w:eastAsia="cs-CZ"/>
        </w:rPr>
        <w:t xml:space="preserve">Acta </w:t>
      </w:r>
      <w:proofErr w:type="spellStart"/>
      <w:r w:rsidRPr="002F3038">
        <w:rPr>
          <w:bCs/>
          <w:i w:val="0"/>
          <w:sz w:val="18"/>
          <w:szCs w:val="24"/>
          <w:lang w:eastAsia="cs-CZ"/>
        </w:rPr>
        <w:t>Cryst</w:t>
      </w:r>
      <w:proofErr w:type="spellEnd"/>
      <w:r w:rsidRPr="002F3038">
        <w:rPr>
          <w:bCs/>
          <w:i w:val="0"/>
          <w:sz w:val="18"/>
          <w:szCs w:val="24"/>
          <w:lang w:eastAsia="cs-CZ"/>
        </w:rPr>
        <w:t>, A., 76, 296.</w:t>
      </w:r>
    </w:p>
    <w:p w14:paraId="63A0DDC1" w14:textId="142E4FDE" w:rsidR="002F3038" w:rsidRPr="002F3038" w:rsidRDefault="002F3038" w:rsidP="002F3038">
      <w:pPr>
        <w:pStyle w:val="Acknowledgement"/>
        <w:rPr>
          <w:bCs/>
          <w:i w:val="0"/>
          <w:sz w:val="18"/>
          <w:szCs w:val="24"/>
          <w:lang w:eastAsia="cs-CZ"/>
        </w:rPr>
      </w:pPr>
      <w:r w:rsidRPr="002F3038">
        <w:rPr>
          <w:bCs/>
          <w:i w:val="0"/>
          <w:sz w:val="18"/>
          <w:szCs w:val="24"/>
          <w:lang w:eastAsia="cs-CZ"/>
        </w:rPr>
        <w:t xml:space="preserve">[5] a) A. Burger, A. W. </w:t>
      </w:r>
      <w:proofErr w:type="spellStart"/>
      <w:r w:rsidRPr="002F3038">
        <w:rPr>
          <w:bCs/>
          <w:i w:val="0"/>
          <w:sz w:val="18"/>
          <w:szCs w:val="24"/>
          <w:lang w:eastAsia="cs-CZ"/>
        </w:rPr>
        <w:t>Ratz</w:t>
      </w:r>
      <w:proofErr w:type="spellEnd"/>
      <w:r w:rsidRPr="002F3038">
        <w:rPr>
          <w:bCs/>
          <w:i w:val="0"/>
          <w:sz w:val="18"/>
          <w:szCs w:val="24"/>
          <w:lang w:eastAsia="cs-CZ"/>
        </w:rPr>
        <w:t xml:space="preserve">, and W. </w:t>
      </w:r>
      <w:proofErr w:type="spellStart"/>
      <w:r w:rsidRPr="002F3038">
        <w:rPr>
          <w:bCs/>
          <w:i w:val="0"/>
          <w:sz w:val="18"/>
          <w:szCs w:val="24"/>
          <w:lang w:eastAsia="cs-CZ"/>
        </w:rPr>
        <w:t>Brox</w:t>
      </w:r>
      <w:proofErr w:type="spellEnd"/>
      <w:r w:rsidRPr="002F3038">
        <w:rPr>
          <w:bCs/>
          <w:i w:val="0"/>
          <w:sz w:val="18"/>
          <w:szCs w:val="24"/>
          <w:lang w:eastAsia="cs-CZ"/>
        </w:rPr>
        <w:t xml:space="preserve">, (1986. )Pharm Acta </w:t>
      </w:r>
      <w:proofErr w:type="spellStart"/>
      <w:r w:rsidRPr="002F3038">
        <w:rPr>
          <w:bCs/>
          <w:i w:val="0"/>
          <w:sz w:val="18"/>
          <w:szCs w:val="24"/>
          <w:lang w:eastAsia="cs-CZ"/>
        </w:rPr>
        <w:t>Helv</w:t>
      </w:r>
      <w:proofErr w:type="spellEnd"/>
      <w:r w:rsidRPr="002F3038">
        <w:rPr>
          <w:bCs/>
          <w:i w:val="0"/>
          <w:sz w:val="18"/>
          <w:szCs w:val="24"/>
          <w:lang w:eastAsia="cs-CZ"/>
        </w:rPr>
        <w:t>, 61, 98–106; b) W. Liebenberg, M. M. De Villiers, D. E. Wurster, E.</w:t>
      </w:r>
      <w:r>
        <w:rPr>
          <w:bCs/>
          <w:i w:val="0"/>
          <w:sz w:val="18"/>
          <w:szCs w:val="24"/>
          <w:lang w:eastAsia="cs-CZ"/>
        </w:rPr>
        <w:t> </w:t>
      </w:r>
      <w:r w:rsidRPr="002F3038">
        <w:rPr>
          <w:bCs/>
          <w:i w:val="0"/>
          <w:sz w:val="18"/>
          <w:szCs w:val="24"/>
          <w:lang w:eastAsia="cs-CZ"/>
        </w:rPr>
        <w:t xml:space="preserve">Swanepoel, T. G. Dekker, and A. P. </w:t>
      </w:r>
      <w:proofErr w:type="spellStart"/>
      <w:r w:rsidRPr="002F3038">
        <w:rPr>
          <w:bCs/>
          <w:i w:val="0"/>
          <w:sz w:val="18"/>
          <w:szCs w:val="24"/>
          <w:lang w:eastAsia="cs-CZ"/>
        </w:rPr>
        <w:t>Lötter</w:t>
      </w:r>
      <w:proofErr w:type="spellEnd"/>
      <w:r w:rsidRPr="002F3038">
        <w:rPr>
          <w:bCs/>
          <w:i w:val="0"/>
          <w:sz w:val="18"/>
          <w:szCs w:val="24"/>
          <w:lang w:eastAsia="cs-CZ"/>
        </w:rPr>
        <w:t>, (1999). Drug Dev Ind Pharm, 25, 1027–1033.; c) M. S. Bueno et al., (2020). Int J Pharm, 585, 119496.</w:t>
      </w:r>
    </w:p>
    <w:p w14:paraId="421D3988" w14:textId="30FFEA3D" w:rsidR="00542C93" w:rsidRDefault="002F3038" w:rsidP="002F3038">
      <w:pPr>
        <w:pStyle w:val="Acknowledgement"/>
      </w:pPr>
      <w:r w:rsidRPr="00122DF1">
        <w:rPr>
          <w:lang w:eastAsia="cs-CZ"/>
        </w:rPr>
        <w:t>Financial support from Polish National Science Centre (SONATA17 grant 2021/43/D/ST4/03136) is kindly acknowledged.</w:t>
      </w:r>
    </w:p>
    <w:sectPr w:rsidR="00542C93">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A9F7" w14:textId="77777777" w:rsidR="00C84C28" w:rsidRDefault="00C84C28">
      <w:pPr>
        <w:spacing w:after="0"/>
      </w:pPr>
      <w:r>
        <w:separator/>
      </w:r>
    </w:p>
  </w:endnote>
  <w:endnote w:type="continuationSeparator" w:id="0">
    <w:p w14:paraId="0F66C79D" w14:textId="77777777" w:rsidR="00C84C28" w:rsidRDefault="00C84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43D" w14:textId="77777777" w:rsidR="00542C93" w:rsidRDefault="00C84C28">
    <w:pPr>
      <w:pStyle w:val="Stopka"/>
    </w:pPr>
    <w:r>
      <w:t xml:space="preserve">Acta </w:t>
    </w:r>
    <w:proofErr w:type="spellStart"/>
    <w:r>
      <w:t>Cryst</w:t>
    </w:r>
    <w:proofErr w:type="spellEnd"/>
    <w:r>
      <w:t>. (2025). A81, e1</w:t>
    </w:r>
  </w:p>
  <w:p w14:paraId="091D8467" w14:textId="77777777" w:rsidR="00542C93" w:rsidRDefault="00542C9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C868" w14:textId="77777777" w:rsidR="00C84C28" w:rsidRDefault="00C84C28">
      <w:pPr>
        <w:spacing w:after="0"/>
      </w:pPr>
      <w:r>
        <w:separator/>
      </w:r>
    </w:p>
  </w:footnote>
  <w:footnote w:type="continuationSeparator" w:id="0">
    <w:p w14:paraId="64B9AA64" w14:textId="77777777" w:rsidR="00C84C28" w:rsidRDefault="00C84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4C53" w14:textId="77777777" w:rsidR="00542C93" w:rsidRDefault="00C84C28">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C93"/>
    <w:rsid w:val="002F3038"/>
    <w:rsid w:val="00542C93"/>
    <w:rsid w:val="00C84C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5C82"/>
  <w15:docId w15:val="{7E43B995-13EC-4F65-A5B6-64119DE7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uppressAutoHyphens/>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481</Words>
  <Characters>2744</Characters>
  <Application>Microsoft Office Word</Application>
  <DocSecurity>0</DocSecurity>
  <Lines>22</Lines>
  <Paragraphs>6</Paragraphs>
  <ScaleCrop>false</ScaleCrop>
  <Company>MFF UK</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Helena Butkiewicz</cp:lastModifiedBy>
  <cp:revision>18</cp:revision>
  <dcterms:created xsi:type="dcterms:W3CDTF">2019-09-04T15:26:00Z</dcterms:created>
  <dcterms:modified xsi:type="dcterms:W3CDTF">2025-05-09T12:55:00Z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