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8" w:rsidRPr="000342D6" w:rsidRDefault="00BC6BA4">
      <w:pPr>
        <w:keepNext/>
        <w:suppressAutoHyphens/>
        <w:spacing w:before="240" w:after="60" w:line="240" w:lineRule="auto"/>
        <w:jc w:val="center"/>
        <w:rPr>
          <w:rFonts w:ascii="Arial" w:eastAsia="Arial" w:hAnsi="Arial" w:cs="Arial"/>
          <w:b/>
          <w:sz w:val="24"/>
          <w:lang w:val="en-US"/>
        </w:rPr>
      </w:pPr>
      <w:r w:rsidRPr="000342D6">
        <w:rPr>
          <w:rFonts w:ascii="Arial" w:eastAsia="Arial" w:hAnsi="Arial" w:cs="Arial"/>
          <w:b/>
          <w:sz w:val="24"/>
          <w:lang w:val="en-US"/>
        </w:rPr>
        <w:t xml:space="preserve">Polymorphism of </w:t>
      </w:r>
      <w:proofErr w:type="spellStart"/>
      <w:r w:rsidRPr="000342D6">
        <w:rPr>
          <w:rFonts w:ascii="Arial" w:eastAsia="Arial" w:hAnsi="Arial" w:cs="Arial"/>
          <w:b/>
          <w:sz w:val="24"/>
          <w:lang w:val="en-US"/>
        </w:rPr>
        <w:t>fenamic</w:t>
      </w:r>
      <w:proofErr w:type="spellEnd"/>
      <w:r w:rsidRPr="000342D6">
        <w:rPr>
          <w:rFonts w:ascii="Arial" w:eastAsia="Arial" w:hAnsi="Arial" w:cs="Arial"/>
          <w:b/>
          <w:sz w:val="24"/>
          <w:lang w:val="en-US"/>
        </w:rPr>
        <w:t xml:space="preserve"> acids and their salts</w:t>
      </w:r>
    </w:p>
    <w:p w:rsidR="00E16F38" w:rsidRDefault="00BC6BA4">
      <w:pPr>
        <w:keepNext/>
        <w:suppressAutoHyphens/>
        <w:spacing w:before="240" w:after="24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Marta S. Krawczyk</w:t>
      </w:r>
      <w:r>
        <w:rPr>
          <w:rFonts w:ascii="Arial" w:eastAsia="Arial" w:hAnsi="Arial" w:cs="Arial"/>
          <w:b/>
          <w:sz w:val="20"/>
          <w:vertAlign w:val="superscript"/>
        </w:rPr>
        <w:t>1</w:t>
      </w:r>
      <w:r>
        <w:rPr>
          <w:rFonts w:ascii="Arial" w:eastAsia="Arial" w:hAnsi="Arial" w:cs="Arial"/>
          <w:b/>
          <w:sz w:val="20"/>
        </w:rPr>
        <w:t xml:space="preserve">, Irena Majerz </w:t>
      </w:r>
      <w:r>
        <w:rPr>
          <w:rFonts w:ascii="Arial" w:eastAsia="Arial" w:hAnsi="Arial" w:cs="Arial"/>
          <w:b/>
          <w:sz w:val="20"/>
          <w:vertAlign w:val="superscript"/>
        </w:rPr>
        <w:t>2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E16F38" w:rsidRPr="000342D6" w:rsidRDefault="00BC6BA4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0342D6">
        <w:rPr>
          <w:rFonts w:ascii="Times New Roman" w:eastAsia="Times New Roman" w:hAnsi="Times New Roman" w:cs="Times New Roman"/>
          <w:i/>
          <w:sz w:val="20"/>
          <w:vertAlign w:val="superscript"/>
          <w:lang w:val="en-US"/>
        </w:rPr>
        <w:t>1</w:t>
      </w:r>
      <w:r w:rsidRPr="000342D6">
        <w:rPr>
          <w:rFonts w:ascii="Times New Roman" w:eastAsia="Times New Roman" w:hAnsi="Times New Roman" w:cs="Times New Roman"/>
          <w:i/>
          <w:sz w:val="20"/>
          <w:lang w:val="en-US"/>
        </w:rPr>
        <w:t xml:space="preserve">Faculty of Pharmacy, Department of Basic Chemical Sciences, Wroclaw Medical University, Borowska 211A, Wroclaw, 50-556, Poland </w:t>
      </w:r>
    </w:p>
    <w:p w:rsidR="00E16F38" w:rsidRPr="000342D6" w:rsidRDefault="00BC6BA4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 w:rsidRPr="000342D6">
        <w:rPr>
          <w:rFonts w:ascii="Times New Roman" w:eastAsia="Times New Roman" w:hAnsi="Times New Roman" w:cs="Times New Roman"/>
          <w:i/>
          <w:sz w:val="20"/>
          <w:vertAlign w:val="superscript"/>
          <w:lang w:val="en-US"/>
        </w:rPr>
        <w:t>2</w:t>
      </w:r>
      <w:r w:rsidRPr="000342D6">
        <w:rPr>
          <w:rFonts w:ascii="Times New Roman" w:eastAsia="Times New Roman" w:hAnsi="Times New Roman" w:cs="Times New Roman"/>
          <w:i/>
          <w:sz w:val="20"/>
          <w:lang w:val="en-US"/>
        </w:rPr>
        <w:t xml:space="preserve">Faculty of Pharmacy, Wroclaw Medical University, Borowska 211A, Wroclaw, 50-556, Poland </w:t>
      </w:r>
    </w:p>
    <w:p w:rsidR="00E16F38" w:rsidRPr="000342D6" w:rsidRDefault="00BC6BA4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8"/>
          <w:lang w:val="en-US"/>
        </w:rPr>
      </w:pPr>
      <w:r w:rsidRPr="000342D6">
        <w:rPr>
          <w:rFonts w:ascii="Times New Roman" w:eastAsia="Times New Roman" w:hAnsi="Times New Roman" w:cs="Times New Roman"/>
          <w:i/>
          <w:sz w:val="20"/>
          <w:lang w:val="en-US"/>
        </w:rPr>
        <w:t xml:space="preserve">Email of communicating: marta.krawczyk@umw.edu.pl </w:t>
      </w:r>
      <w:r w:rsidRPr="000342D6">
        <w:rPr>
          <w:rFonts w:ascii="Times New Roman" w:eastAsia="Times New Roman" w:hAnsi="Times New Roman" w:cs="Times New Roman"/>
          <w:i/>
          <w:sz w:val="20"/>
          <w:lang w:val="en-US"/>
        </w:rPr>
        <w:br/>
      </w:r>
    </w:p>
    <w:p w:rsidR="000342D6" w:rsidRPr="000342D6" w:rsidRDefault="00BC6BA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spellStart"/>
      <w:r w:rsidRPr="000342D6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acids </w:t>
      </w:r>
      <w:proofErr w:type="spellStart"/>
      <w:r w:rsidRPr="000342D6">
        <w:rPr>
          <w:rFonts w:ascii="Times New Roman" w:eastAsia="Times New Roman" w:hAnsi="Times New Roman" w:cs="Times New Roman"/>
          <w:sz w:val="20"/>
          <w:lang w:val="en-US"/>
        </w:rPr>
        <w:t>blong</w:t>
      </w:r>
      <w:proofErr w:type="spellEnd"/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to the subclass of non-steroidal anti-inflammatory drugs (NSAIDs)</w:t>
      </w:r>
      <w:r w:rsidR="00A662F4">
        <w:rPr>
          <w:rFonts w:ascii="Times New Roman" w:eastAsia="Times New Roman" w:hAnsi="Times New Roman" w:cs="Times New Roman"/>
          <w:sz w:val="20"/>
          <w:lang w:val="en-US"/>
        </w:rPr>
        <w:t xml:space="preserve"> [1]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. This group </w:t>
      </w:r>
      <w:r w:rsidR="00A319CD">
        <w:rPr>
          <w:rFonts w:ascii="Times New Roman" w:eastAsia="Times New Roman" w:hAnsi="Times New Roman" w:cs="Times New Roman"/>
          <w:sz w:val="20"/>
          <w:lang w:val="en-US"/>
        </w:rPr>
        <w:t xml:space="preserve">of drugs 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includes </w:t>
      </w:r>
      <w:proofErr w:type="spellStart"/>
      <w:r w:rsidRPr="000342D6">
        <w:rPr>
          <w:rFonts w:ascii="Times New Roman" w:eastAsia="Times New Roman" w:hAnsi="Times New Roman" w:cs="Times New Roman"/>
          <w:sz w:val="20"/>
          <w:lang w:val="en-US"/>
        </w:rPr>
        <w:t>mefe</w:t>
      </w:r>
      <w:r w:rsidR="00A662F4">
        <w:rPr>
          <w:rFonts w:ascii="Times New Roman" w:eastAsia="Times New Roman" w:hAnsi="Times New Roman" w:cs="Times New Roman"/>
          <w:sz w:val="20"/>
          <w:lang w:val="en-US"/>
        </w:rPr>
        <w:t>namic</w:t>
      </w:r>
      <w:proofErr w:type="spellEnd"/>
      <w:r w:rsidR="00A662F4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 w:rsidR="00A662F4">
        <w:rPr>
          <w:rFonts w:ascii="Times New Roman" w:eastAsia="Times New Roman" w:hAnsi="Times New Roman" w:cs="Times New Roman"/>
          <w:sz w:val="20"/>
          <w:lang w:val="en-US"/>
        </w:rPr>
        <w:t>tolfenamic</w:t>
      </w:r>
      <w:proofErr w:type="spellEnd"/>
      <w:r w:rsidR="00A662F4">
        <w:rPr>
          <w:rFonts w:ascii="Times New Roman" w:eastAsia="Times New Roman" w:hAnsi="Times New Roman" w:cs="Times New Roman"/>
          <w:sz w:val="20"/>
          <w:lang w:val="en-US"/>
        </w:rPr>
        <w:t xml:space="preserve">, </w:t>
      </w:r>
      <w:proofErr w:type="spellStart"/>
      <w:r w:rsidR="00A662F4">
        <w:rPr>
          <w:rFonts w:ascii="Times New Roman" w:eastAsia="Times New Roman" w:hAnsi="Times New Roman" w:cs="Times New Roman"/>
          <w:sz w:val="20"/>
          <w:lang w:val="en-US"/>
        </w:rPr>
        <w:t>fufenamic</w:t>
      </w:r>
      <w:proofErr w:type="spellEnd"/>
      <w:r w:rsidR="00A662F4">
        <w:rPr>
          <w:rFonts w:ascii="Times New Roman" w:eastAsia="Times New Roman" w:hAnsi="Times New Roman" w:cs="Times New Roman"/>
          <w:sz w:val="20"/>
          <w:lang w:val="en-US"/>
        </w:rPr>
        <w:t>,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0342D6">
        <w:rPr>
          <w:rFonts w:ascii="Times New Roman" w:eastAsia="Times New Roman" w:hAnsi="Times New Roman" w:cs="Times New Roman"/>
          <w:sz w:val="20"/>
          <w:lang w:val="en-US"/>
        </w:rPr>
        <w:t>meclofenamic</w:t>
      </w:r>
      <w:proofErr w:type="spellEnd"/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acids</w:t>
      </w:r>
      <w:r w:rsidR="00A662F4">
        <w:rPr>
          <w:rFonts w:ascii="Times New Roman" w:eastAsia="Times New Roman" w:hAnsi="Times New Roman" w:cs="Times New Roman"/>
          <w:sz w:val="20"/>
          <w:lang w:val="en-US"/>
        </w:rPr>
        <w:t xml:space="preserve"> and </w:t>
      </w:r>
      <w:proofErr w:type="spellStart"/>
      <w:r w:rsidR="00A662F4">
        <w:rPr>
          <w:rFonts w:ascii="Times New Roman" w:eastAsia="Times New Roman" w:hAnsi="Times New Roman" w:cs="Times New Roman"/>
          <w:sz w:val="20"/>
          <w:lang w:val="en-US"/>
        </w:rPr>
        <w:t>niflumic</w:t>
      </w:r>
      <w:proofErr w:type="spellEnd"/>
      <w:r w:rsidR="00A662F4">
        <w:rPr>
          <w:rFonts w:ascii="Times New Roman" w:eastAsia="Times New Roman" w:hAnsi="Times New Roman" w:cs="Times New Roman"/>
          <w:sz w:val="20"/>
          <w:lang w:val="en-US"/>
        </w:rPr>
        <w:t xml:space="preserve"> acid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. 2-Anilinobenzoic acid, also called simply </w:t>
      </w:r>
      <w:proofErr w:type="spellStart"/>
      <w:r w:rsidRPr="000342D6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acid, is the parent compound for these acids, however, due to its high gastrointestinal side effects, it is not used</w:t>
      </w:r>
      <w:r w:rsidR="00FD1761">
        <w:rPr>
          <w:rFonts w:ascii="Times New Roman" w:eastAsia="Times New Roman" w:hAnsi="Times New Roman" w:cs="Times New Roman"/>
          <w:sz w:val="20"/>
          <w:lang w:val="en-US"/>
        </w:rPr>
        <w:t xml:space="preserve"> as a drug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. A review of the CSD database [2] has revealed that </w:t>
      </w:r>
      <w:proofErr w:type="spellStart"/>
      <w:r w:rsidR="00A319CD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acids exhibit polymorphism.</w:t>
      </w:r>
      <w:r w:rsidR="000342D6">
        <w:rPr>
          <w:rFonts w:ascii="Times New Roman" w:eastAsia="Times New Roman" w:hAnsi="Times New Roman" w:cs="Times New Roman"/>
          <w:sz w:val="20"/>
          <w:lang w:val="en-US"/>
        </w:rPr>
        <w:t xml:space="preserve"> In particular, </w:t>
      </w:r>
      <w:proofErr w:type="spellStart"/>
      <w:r w:rsidR="000342D6">
        <w:rPr>
          <w:rFonts w:ascii="Times New Roman" w:eastAsia="Times New Roman" w:hAnsi="Times New Roman" w:cs="Times New Roman"/>
          <w:sz w:val="20"/>
          <w:lang w:val="en-US"/>
        </w:rPr>
        <w:t>f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>lufena</w:t>
      </w:r>
      <w:r w:rsidR="00FD1761">
        <w:rPr>
          <w:rFonts w:ascii="Times New Roman" w:eastAsia="Times New Roman" w:hAnsi="Times New Roman" w:cs="Times New Roman"/>
          <w:sz w:val="20"/>
          <w:lang w:val="en-US"/>
        </w:rPr>
        <w:t>mic</w:t>
      </w:r>
      <w:proofErr w:type="spellEnd"/>
      <w:r w:rsidR="00FD1761">
        <w:rPr>
          <w:rFonts w:ascii="Times New Roman" w:eastAsia="Times New Roman" w:hAnsi="Times New Roman" w:cs="Times New Roman"/>
          <w:sz w:val="20"/>
          <w:lang w:val="en-US"/>
        </w:rPr>
        <w:t xml:space="preserve"> and </w:t>
      </w:r>
      <w:proofErr w:type="spellStart"/>
      <w:r w:rsidR="00FD1761">
        <w:rPr>
          <w:rFonts w:ascii="Times New Roman" w:eastAsia="Times New Roman" w:hAnsi="Times New Roman" w:cs="Times New Roman"/>
          <w:sz w:val="20"/>
          <w:lang w:val="en-US"/>
        </w:rPr>
        <w:t>tolfenamic</w:t>
      </w:r>
      <w:proofErr w:type="spellEnd"/>
      <w:r w:rsidR="00FD1761">
        <w:rPr>
          <w:rFonts w:ascii="Times New Roman" w:eastAsia="Times New Roman" w:hAnsi="Times New Roman" w:cs="Times New Roman"/>
          <w:sz w:val="20"/>
          <w:lang w:val="en-US"/>
        </w:rPr>
        <w:t xml:space="preserve"> acids crystallize in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EE3B92">
        <w:rPr>
          <w:rFonts w:ascii="Times New Roman" w:eastAsia="Times New Roman" w:hAnsi="Times New Roman" w:cs="Times New Roman"/>
          <w:sz w:val="20"/>
          <w:lang w:val="en-US"/>
        </w:rPr>
        <w:t>many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polymorphic forms</w:t>
      </w:r>
      <w:r w:rsidR="000342D6">
        <w:rPr>
          <w:rFonts w:ascii="Times New Roman" w:eastAsia="Times New Roman" w:hAnsi="Times New Roman" w:cs="Times New Roman"/>
          <w:sz w:val="20"/>
          <w:lang w:val="en-US"/>
        </w:rPr>
        <w:t xml:space="preserve"> [3,4]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. The polymorphism of </w:t>
      </w:r>
      <w:proofErr w:type="spellStart"/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acids appears to be primarily </w:t>
      </w:r>
      <w:r w:rsidR="00EF6B9D">
        <w:rPr>
          <w:rFonts w:ascii="Times New Roman" w:eastAsia="Times New Roman" w:hAnsi="Times New Roman" w:cs="Times New Roman"/>
          <w:sz w:val="20"/>
          <w:lang w:val="en-US"/>
        </w:rPr>
        <w:t>caused</w:t>
      </w:r>
      <w:r w:rsidR="00A319CD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>by the rotation of phenyl rings around the nitrogen</w:t>
      </w:r>
      <w:r w:rsidR="000342D6">
        <w:rPr>
          <w:rFonts w:ascii="Times New Roman" w:eastAsia="Times New Roman" w:hAnsi="Times New Roman" w:cs="Times New Roman"/>
          <w:sz w:val="20"/>
          <w:lang w:val="en-US"/>
        </w:rPr>
        <w:t>-carbon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 bond</w:t>
      </w:r>
      <w:r w:rsidR="000342D6">
        <w:rPr>
          <w:rFonts w:ascii="Times New Roman" w:eastAsia="Times New Roman" w:hAnsi="Times New Roman" w:cs="Times New Roman"/>
          <w:sz w:val="20"/>
          <w:lang w:val="en-US"/>
        </w:rPr>
        <w:t xml:space="preserve">s. Consequently, </w:t>
      </w:r>
      <w:r w:rsidR="00FD1761">
        <w:rPr>
          <w:rFonts w:ascii="Times New Roman" w:eastAsia="Times New Roman" w:hAnsi="Times New Roman" w:cs="Times New Roman"/>
          <w:sz w:val="20"/>
          <w:lang w:val="en-US"/>
        </w:rPr>
        <w:t xml:space="preserve">their 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polymorphs differ not only in their molecular packing, which impacts hydrogen bonding networks and </w:t>
      </w:r>
      <w:r w:rsidR="000342D6">
        <w:rPr>
          <w:rFonts w:ascii="Times New Roman" w:eastAsia="Times New Roman" w:hAnsi="Times New Roman" w:cs="Times New Roman"/>
          <w:sz w:val="20"/>
          <w:lang w:val="en-US"/>
        </w:rPr>
        <w:t xml:space="preserve">other 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 xml:space="preserve">weak interactions, but also in the </w:t>
      </w:r>
      <w:r w:rsidR="00FD1761">
        <w:rPr>
          <w:rFonts w:ascii="Times New Roman" w:eastAsia="Times New Roman" w:hAnsi="Times New Roman" w:cs="Times New Roman"/>
          <w:sz w:val="20"/>
          <w:lang w:val="en-US"/>
        </w:rPr>
        <w:t xml:space="preserve">spatial arrangement of </w:t>
      </w:r>
      <w:r w:rsidR="000342D6" w:rsidRPr="000342D6">
        <w:rPr>
          <w:rFonts w:ascii="Times New Roman" w:eastAsia="Times New Roman" w:hAnsi="Times New Roman" w:cs="Times New Roman"/>
          <w:sz w:val="20"/>
          <w:lang w:val="en-US"/>
        </w:rPr>
        <w:t>the rings.</w:t>
      </w:r>
      <w:r w:rsidR="00972DEC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In the search for new drugs with a broad spectrum of action, we have formed salts of </w:t>
      </w:r>
      <w:proofErr w:type="spellStart"/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 acids with other medicinal substances and in the case of these compounds there is also the possibility of conformational polymorphism occurring.</w:t>
      </w:r>
      <w:r w:rsidR="003E00F2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972DEC" w:rsidRPr="00CF31F2">
        <w:rPr>
          <w:rFonts w:ascii="Times New Roman" w:eastAsia="Times New Roman" w:hAnsi="Times New Roman" w:cs="Times New Roman"/>
          <w:sz w:val="20"/>
          <w:lang w:val="en-US"/>
        </w:rPr>
        <w:t xml:space="preserve">Similarly, the polymorphs </w:t>
      </w:r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of the </w:t>
      </w:r>
      <w:proofErr w:type="spellStart"/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>fenamic</w:t>
      </w:r>
      <w:proofErr w:type="spellEnd"/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 acid</w:t>
      </w:r>
      <w:r w:rsidR="00FB51C1" w:rsidRPr="000E7D1B">
        <w:rPr>
          <w:rFonts w:ascii="Times New Roman" w:eastAsia="Times New Roman" w:hAnsi="Times New Roman" w:cs="Times New Roman"/>
          <w:sz w:val="20"/>
          <w:lang w:val="en-US"/>
        </w:rPr>
        <w:t>s</w:t>
      </w:r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 salts </w:t>
      </w:r>
      <w:r w:rsidR="00972DEC" w:rsidRPr="000E7D1B">
        <w:rPr>
          <w:rFonts w:ascii="Times New Roman" w:eastAsia="Times New Roman" w:hAnsi="Times New Roman" w:cs="Times New Roman"/>
          <w:sz w:val="20"/>
          <w:lang w:val="en-US"/>
        </w:rPr>
        <w:t>differ in the interplanar angle</w:t>
      </w:r>
      <w:r w:rsidR="000253E6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 [5, 6, 7]</w:t>
      </w:r>
      <w:r w:rsidR="003D6EE9" w:rsidRPr="000E7D1B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3E00F2" w:rsidRPr="000E7D1B">
        <w:rPr>
          <w:rFonts w:ascii="Times New Roman" w:eastAsia="Times New Roman" w:hAnsi="Times New Roman" w:cs="Times New Roman"/>
          <w:sz w:val="20"/>
          <w:lang w:val="en-US"/>
        </w:rPr>
        <w:t>which causes differences in packing in the crystal</w:t>
      </w:r>
      <w:r w:rsidR="003E00F2" w:rsidRPr="003E00F2">
        <w:rPr>
          <w:rFonts w:ascii="Times New Roman" w:eastAsia="Times New Roman" w:hAnsi="Times New Roman" w:cs="Times New Roman"/>
          <w:sz w:val="20"/>
          <w:lang w:val="en-US"/>
        </w:rPr>
        <w:t>.</w:t>
      </w:r>
      <w:r w:rsidR="003E00F2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0E7D1B">
        <w:rPr>
          <w:rFonts w:ascii="Times New Roman" w:eastAsia="Times New Roman" w:hAnsi="Times New Roman" w:cs="Times New Roman"/>
          <w:sz w:val="20"/>
          <w:lang w:val="en-US"/>
        </w:rPr>
        <w:t>C</w:t>
      </w:r>
      <w:r w:rsidR="003D6EE9" w:rsidRPr="00F72A24">
        <w:rPr>
          <w:rFonts w:ascii="Times New Roman" w:eastAsia="Times New Roman" w:hAnsi="Times New Roman" w:cs="Times New Roman"/>
          <w:sz w:val="20"/>
          <w:lang w:val="en-US"/>
        </w:rPr>
        <w:t xml:space="preserve">onformational and packing analysis in the studied crystals </w:t>
      </w:r>
      <w:r w:rsidR="000A3288">
        <w:rPr>
          <w:rFonts w:ascii="Times New Roman" w:eastAsia="Times New Roman" w:hAnsi="Times New Roman" w:cs="Times New Roman"/>
          <w:sz w:val="20"/>
          <w:lang w:val="en-US"/>
        </w:rPr>
        <w:t xml:space="preserve">of fenamates </w:t>
      </w:r>
      <w:r w:rsidR="003E00F2">
        <w:rPr>
          <w:rFonts w:ascii="Times New Roman" w:eastAsia="Times New Roman" w:hAnsi="Times New Roman" w:cs="Times New Roman"/>
          <w:sz w:val="20"/>
          <w:lang w:val="en-US"/>
        </w:rPr>
        <w:t>has been</w:t>
      </w:r>
      <w:r w:rsidR="003D6EE9" w:rsidRPr="00F72A24">
        <w:rPr>
          <w:rFonts w:ascii="Times New Roman" w:eastAsia="Times New Roman" w:hAnsi="Times New Roman" w:cs="Times New Roman"/>
          <w:sz w:val="20"/>
          <w:lang w:val="en-US"/>
        </w:rPr>
        <w:t xml:space="preserve"> carried out with reference to the literature data.</w:t>
      </w:r>
    </w:p>
    <w:p w:rsidR="00E16F38" w:rsidRDefault="00E16F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119C1" w:rsidRDefault="002119C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>
            <wp:extent cx="5760720" cy="188691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C1" w:rsidRPr="000342D6" w:rsidRDefault="002119C1" w:rsidP="002119C1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0342D6">
        <w:rPr>
          <w:rFonts w:ascii="Times New Roman" w:eastAsia="Times New Roman" w:hAnsi="Times New Roman" w:cs="Times New Roman"/>
          <w:b/>
          <w:sz w:val="20"/>
          <w:lang w:val="en-US"/>
        </w:rPr>
        <w:t>Figure 1</w:t>
      </w:r>
      <w:r w:rsidRPr="000342D6">
        <w:rPr>
          <w:rFonts w:ascii="Times New Roman" w:eastAsia="Times New Roman" w:hAnsi="Times New Roman" w:cs="Times New Roman"/>
          <w:sz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Molecular structures of (a) polymorph I and (b) polymorph II of amantadinium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niflumate</w:t>
      </w:r>
      <w:proofErr w:type="spellEnd"/>
      <w:r>
        <w:rPr>
          <w:rFonts w:ascii="Times New Roman" w:eastAsia="Times New Roman" w:hAnsi="Times New Roman" w:cs="Times New Roman"/>
          <w:sz w:val="20"/>
          <w:lang w:val="en-US"/>
        </w:rPr>
        <w:t xml:space="preserve"> [6].</w:t>
      </w:r>
    </w:p>
    <w:p w:rsidR="002119C1" w:rsidRPr="000342D6" w:rsidRDefault="002119C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16F38" w:rsidRPr="000342D6" w:rsidRDefault="00BC6BA4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0342D6">
        <w:rPr>
          <w:rFonts w:ascii="Times New Roman" w:eastAsia="Times New Roman" w:hAnsi="Times New Roman" w:cs="Times New Roman"/>
          <w:sz w:val="20"/>
          <w:lang w:val="en-US"/>
        </w:rPr>
        <w:t>References:</w:t>
      </w:r>
    </w:p>
    <w:p w:rsidR="00E16F38" w:rsidRPr="000342D6" w:rsidRDefault="00805243" w:rsidP="00805243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>
        <w:rPr>
          <w:rFonts w:ascii="Times New Roman" w:eastAsia="Times New Roman" w:hAnsi="Times New Roman" w:cs="Times New Roman"/>
          <w:sz w:val="18"/>
          <w:lang w:val="en-US"/>
        </w:rPr>
        <w:t xml:space="preserve">[1] </w:t>
      </w:r>
      <w:r w:rsidRPr="00805243">
        <w:rPr>
          <w:rFonts w:ascii="Times New Roman" w:eastAsia="Times New Roman" w:hAnsi="Times New Roman" w:cs="Times New Roman"/>
          <w:sz w:val="18"/>
          <w:lang w:val="en-US"/>
        </w:rPr>
        <w:t>Díaz-González, F.; Sánchez-Madrid, F.</w:t>
      </w:r>
      <w:r>
        <w:rPr>
          <w:rFonts w:ascii="Times New Roman" w:eastAsia="Times New Roman" w:hAnsi="Times New Roman" w:cs="Times New Roman"/>
          <w:sz w:val="18"/>
          <w:lang w:val="en-US"/>
        </w:rPr>
        <w:t xml:space="preserve"> (2015)</w:t>
      </w:r>
      <w:r w:rsidRPr="00805243">
        <w:rPr>
          <w:rFonts w:ascii="Times New Roman" w:eastAsia="Times New Roman" w:hAnsi="Times New Roman" w:cs="Times New Roman"/>
          <w:sz w:val="18"/>
          <w:lang w:val="en-US"/>
        </w:rPr>
        <w:t xml:space="preserve">. </w:t>
      </w:r>
      <w:r w:rsidRPr="00805243">
        <w:rPr>
          <w:rFonts w:ascii="Times New Roman" w:eastAsia="Times New Roman" w:hAnsi="Times New Roman" w:cs="Times New Roman"/>
          <w:i/>
          <w:sz w:val="18"/>
          <w:lang w:val="en-US"/>
        </w:rPr>
        <w:t>Eur. J. Immunol</w:t>
      </w:r>
      <w:r>
        <w:rPr>
          <w:rFonts w:ascii="Times New Roman" w:eastAsia="Times New Roman" w:hAnsi="Times New Roman" w:cs="Times New Roman"/>
          <w:sz w:val="18"/>
          <w:lang w:val="en-US"/>
        </w:rPr>
        <w:t xml:space="preserve">., </w:t>
      </w:r>
      <w:r w:rsidRPr="00805243">
        <w:rPr>
          <w:rFonts w:ascii="Times New Roman" w:eastAsia="Times New Roman" w:hAnsi="Times New Roman" w:cs="Times New Roman"/>
          <w:b/>
          <w:sz w:val="18"/>
          <w:lang w:val="en-US"/>
        </w:rPr>
        <w:t>45</w:t>
      </w:r>
      <w:r w:rsidRPr="00805243">
        <w:rPr>
          <w:rFonts w:ascii="Times New Roman" w:eastAsia="Times New Roman" w:hAnsi="Times New Roman" w:cs="Times New Roman"/>
          <w:sz w:val="18"/>
          <w:lang w:val="en-US"/>
        </w:rPr>
        <w:t>(3), 679</w:t>
      </w:r>
      <w:r>
        <w:rPr>
          <w:rFonts w:ascii="Times New Roman" w:eastAsia="Times New Roman" w:hAnsi="Times New Roman" w:cs="Times New Roman"/>
          <w:sz w:val="18"/>
          <w:lang w:val="en-US"/>
        </w:rPr>
        <w:t>.</w:t>
      </w:r>
    </w:p>
    <w:p w:rsidR="00E16F38" w:rsidRPr="00F76599" w:rsidRDefault="00BC6BA4" w:rsidP="00B10627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0342D6">
        <w:rPr>
          <w:rFonts w:ascii="Times New Roman" w:eastAsia="Times New Roman" w:hAnsi="Times New Roman" w:cs="Times New Roman"/>
          <w:sz w:val="18"/>
          <w:lang w:val="en-US"/>
        </w:rPr>
        <w:t xml:space="preserve">[2] </w:t>
      </w:r>
      <w:r w:rsidR="00F76599" w:rsidRPr="00F76599">
        <w:rPr>
          <w:rFonts w:ascii="Times New Roman" w:eastAsia="Times New Roman" w:hAnsi="Times New Roman" w:cs="Times New Roman"/>
          <w:sz w:val="18"/>
          <w:lang w:val="en-US"/>
        </w:rPr>
        <w:t>C. R. Groom,</w:t>
      </w:r>
      <w:r w:rsidR="00F76599">
        <w:rPr>
          <w:rFonts w:ascii="Times New Roman" w:eastAsia="Times New Roman" w:hAnsi="Times New Roman" w:cs="Times New Roman"/>
          <w:sz w:val="18"/>
          <w:lang w:val="en-US"/>
        </w:rPr>
        <w:t xml:space="preserve"> C. R., </w:t>
      </w:r>
      <w:r w:rsidR="00F76599" w:rsidRPr="00F76599">
        <w:rPr>
          <w:rFonts w:ascii="Times New Roman" w:eastAsia="Times New Roman" w:hAnsi="Times New Roman" w:cs="Times New Roman"/>
          <w:sz w:val="18"/>
          <w:lang w:val="en-US"/>
        </w:rPr>
        <w:t>Bruno,</w:t>
      </w:r>
      <w:r w:rsidR="00F76599">
        <w:rPr>
          <w:rFonts w:ascii="Times New Roman" w:eastAsia="Times New Roman" w:hAnsi="Times New Roman" w:cs="Times New Roman"/>
          <w:sz w:val="18"/>
          <w:lang w:val="en-US"/>
        </w:rPr>
        <w:t xml:space="preserve"> I. J., </w:t>
      </w:r>
      <w:r w:rsidR="00F76599" w:rsidRPr="00F76599">
        <w:rPr>
          <w:rFonts w:ascii="Times New Roman" w:eastAsia="Times New Roman" w:hAnsi="Times New Roman" w:cs="Times New Roman"/>
          <w:sz w:val="18"/>
          <w:lang w:val="en-US"/>
        </w:rPr>
        <w:t>Lightfoot</w:t>
      </w:r>
      <w:r w:rsidR="00F76599">
        <w:rPr>
          <w:rFonts w:ascii="Times New Roman" w:eastAsia="Times New Roman" w:hAnsi="Times New Roman" w:cs="Times New Roman"/>
          <w:sz w:val="18"/>
          <w:lang w:val="en-US"/>
        </w:rPr>
        <w:t xml:space="preserve">, M. P. &amp; </w:t>
      </w:r>
      <w:r w:rsidR="00F76599" w:rsidRPr="00F76599">
        <w:rPr>
          <w:rFonts w:ascii="Times New Roman" w:eastAsia="Times New Roman" w:hAnsi="Times New Roman" w:cs="Times New Roman"/>
          <w:sz w:val="18"/>
          <w:lang w:val="en-US"/>
        </w:rPr>
        <w:t>Ward,</w:t>
      </w:r>
      <w:r w:rsidR="00F76599">
        <w:rPr>
          <w:rFonts w:ascii="Times New Roman" w:eastAsia="Times New Roman" w:hAnsi="Times New Roman" w:cs="Times New Roman"/>
          <w:sz w:val="18"/>
          <w:lang w:val="en-US"/>
        </w:rPr>
        <w:t xml:space="preserve"> S. C.</w:t>
      </w:r>
      <w:r w:rsidR="00F76599" w:rsidRPr="00F76599">
        <w:rPr>
          <w:rFonts w:ascii="Times New Roman" w:eastAsia="Times New Roman" w:hAnsi="Times New Roman" w:cs="Times New Roman"/>
          <w:sz w:val="18"/>
          <w:lang w:val="en-US"/>
        </w:rPr>
        <w:t xml:space="preserve"> </w:t>
      </w:r>
      <w:r w:rsidR="002852BC">
        <w:rPr>
          <w:rFonts w:ascii="Times New Roman" w:eastAsia="Times New Roman" w:hAnsi="Times New Roman" w:cs="Times New Roman"/>
          <w:sz w:val="18"/>
          <w:lang w:val="en-US"/>
        </w:rPr>
        <w:t xml:space="preserve">(2016) </w:t>
      </w:r>
      <w:r w:rsidR="002852BC" w:rsidRPr="00B10627">
        <w:rPr>
          <w:rFonts w:ascii="Times New Roman" w:eastAsia="Times New Roman" w:hAnsi="Times New Roman" w:cs="Times New Roman"/>
          <w:sz w:val="18"/>
          <w:lang w:val="en-US"/>
        </w:rPr>
        <w:t xml:space="preserve">) Acta </w:t>
      </w:r>
      <w:proofErr w:type="spellStart"/>
      <w:r w:rsidR="002852BC" w:rsidRPr="00B10627">
        <w:rPr>
          <w:rFonts w:ascii="Times New Roman" w:eastAsia="Times New Roman" w:hAnsi="Times New Roman" w:cs="Times New Roman"/>
          <w:sz w:val="18"/>
          <w:lang w:val="en-US"/>
        </w:rPr>
        <w:t>Cryst</w:t>
      </w:r>
      <w:proofErr w:type="spellEnd"/>
      <w:r w:rsidR="00B10627">
        <w:rPr>
          <w:rFonts w:ascii="Times New Roman" w:eastAsia="Times New Roman" w:hAnsi="Times New Roman" w:cs="Times New Roman"/>
          <w:sz w:val="18"/>
          <w:lang w:val="en-US"/>
        </w:rPr>
        <w:t>. B</w:t>
      </w:r>
      <w:r w:rsidR="00B10627" w:rsidRPr="00B10627">
        <w:rPr>
          <w:rFonts w:ascii="Times New Roman" w:eastAsia="Times New Roman" w:hAnsi="Times New Roman" w:cs="Times New Roman"/>
          <w:b/>
          <w:sz w:val="18"/>
          <w:lang w:val="en-US"/>
        </w:rPr>
        <w:t>72</w:t>
      </w:r>
      <w:r w:rsidR="00B10627">
        <w:rPr>
          <w:rFonts w:ascii="Times New Roman" w:eastAsia="Times New Roman" w:hAnsi="Times New Roman" w:cs="Times New Roman"/>
          <w:sz w:val="18"/>
          <w:lang w:val="en-US"/>
        </w:rPr>
        <w:t>, 171.</w:t>
      </w:r>
    </w:p>
    <w:p w:rsidR="00E16F38" w:rsidRPr="000342D6" w:rsidRDefault="00BC6BA4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F76599">
        <w:rPr>
          <w:rFonts w:ascii="Times New Roman" w:eastAsia="Times New Roman" w:hAnsi="Times New Roman" w:cs="Times New Roman"/>
          <w:sz w:val="18"/>
          <w:lang w:val="en-US"/>
        </w:rPr>
        <w:t xml:space="preserve">[3] </w:t>
      </w:r>
      <w:proofErr w:type="spellStart"/>
      <w:r w:rsidRPr="00F76599">
        <w:rPr>
          <w:rFonts w:ascii="Times New Roman" w:eastAsia="Times New Roman" w:hAnsi="Times New Roman" w:cs="Times New Roman"/>
          <w:sz w:val="18"/>
          <w:lang w:val="en-US"/>
        </w:rPr>
        <w:t>López-Me</w:t>
      </w:r>
      <w:r w:rsidR="00CF31F2" w:rsidRPr="00F76599">
        <w:rPr>
          <w:rFonts w:ascii="Times New Roman" w:eastAsia="Times New Roman" w:hAnsi="Times New Roman" w:cs="Times New Roman"/>
          <w:sz w:val="18"/>
          <w:lang w:val="en-US"/>
        </w:rPr>
        <w:t>jías</w:t>
      </w:r>
      <w:proofErr w:type="spellEnd"/>
      <w:r w:rsidR="00CF31F2" w:rsidRPr="00F76599">
        <w:rPr>
          <w:rFonts w:ascii="Times New Roman" w:eastAsia="Times New Roman" w:hAnsi="Times New Roman" w:cs="Times New Roman"/>
          <w:sz w:val="18"/>
          <w:lang w:val="en-US"/>
        </w:rPr>
        <w:t xml:space="preserve">, V., Kampf, J.W. &amp; </w:t>
      </w:r>
      <w:proofErr w:type="spellStart"/>
      <w:r w:rsidRPr="00F76599">
        <w:rPr>
          <w:rFonts w:ascii="Times New Roman" w:eastAsia="Times New Roman" w:hAnsi="Times New Roman" w:cs="Times New Roman"/>
          <w:sz w:val="18"/>
          <w:lang w:val="en-US"/>
        </w:rPr>
        <w:t>Matzger</w:t>
      </w:r>
      <w:proofErr w:type="spellEnd"/>
      <w:r w:rsidR="00CF31F2" w:rsidRPr="00F76599">
        <w:rPr>
          <w:rFonts w:ascii="Times New Roman" w:eastAsia="Times New Roman" w:hAnsi="Times New Roman" w:cs="Times New Roman"/>
          <w:sz w:val="18"/>
          <w:lang w:val="en-US"/>
        </w:rPr>
        <w:t>, A. J.</w:t>
      </w:r>
      <w:r w:rsidRPr="00F76599">
        <w:rPr>
          <w:rFonts w:ascii="Times New Roman" w:eastAsia="Times New Roman" w:hAnsi="Times New Roman" w:cs="Times New Roman"/>
          <w:sz w:val="18"/>
          <w:lang w:val="en-US"/>
        </w:rPr>
        <w:t xml:space="preserve"> (2012). </w:t>
      </w:r>
      <w:r w:rsidRPr="000342D6">
        <w:rPr>
          <w:rFonts w:ascii="Times New Roman" w:eastAsia="Times New Roman" w:hAnsi="Times New Roman" w:cs="Times New Roman"/>
          <w:i/>
          <w:sz w:val="18"/>
          <w:lang w:val="en-US"/>
        </w:rPr>
        <w:t>J. Am. Chem. Soc</w:t>
      </w:r>
      <w:r w:rsidRPr="000342D6">
        <w:rPr>
          <w:rFonts w:ascii="Times New Roman" w:eastAsia="Times New Roman" w:hAnsi="Times New Roman" w:cs="Times New Roman"/>
          <w:sz w:val="18"/>
          <w:lang w:val="en-US"/>
        </w:rPr>
        <w:t xml:space="preserve">., </w:t>
      </w:r>
      <w:r w:rsidRPr="000342D6">
        <w:rPr>
          <w:rFonts w:ascii="Times New Roman" w:eastAsia="Times New Roman" w:hAnsi="Times New Roman" w:cs="Times New Roman"/>
          <w:b/>
          <w:sz w:val="18"/>
          <w:lang w:val="en-US"/>
        </w:rPr>
        <w:t>134</w:t>
      </w:r>
      <w:r w:rsidRPr="000342D6">
        <w:rPr>
          <w:rFonts w:ascii="Times New Roman" w:eastAsia="Times New Roman" w:hAnsi="Times New Roman" w:cs="Times New Roman"/>
          <w:sz w:val="18"/>
          <w:lang w:val="en-US"/>
        </w:rPr>
        <w:t>, 9872.</w:t>
      </w:r>
    </w:p>
    <w:p w:rsidR="00E16F38" w:rsidRPr="00CF31F2" w:rsidRDefault="00BC6BA4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18"/>
          <w:lang w:val="en-US"/>
        </w:rPr>
      </w:pPr>
      <w:r w:rsidRPr="00CF31F2">
        <w:rPr>
          <w:rFonts w:ascii="Times New Roman" w:eastAsia="Times New Roman" w:hAnsi="Times New Roman" w:cs="Times New Roman"/>
          <w:sz w:val="18"/>
          <w:lang w:val="en-US"/>
        </w:rPr>
        <w:t xml:space="preserve">[4] </w:t>
      </w:r>
      <w:r w:rsidR="00CF31F2" w:rsidRPr="00CF31F2">
        <w:rPr>
          <w:rFonts w:ascii="Times New Roman" w:eastAsia="Times New Roman" w:hAnsi="Times New Roman" w:cs="Times New Roman"/>
          <w:sz w:val="18"/>
          <w:lang w:val="en-US"/>
        </w:rPr>
        <w:t>Sacchi,</w:t>
      </w:r>
      <w:r w:rsidR="00CF31F2">
        <w:rPr>
          <w:rFonts w:ascii="Times New Roman" w:eastAsia="Times New Roman" w:hAnsi="Times New Roman" w:cs="Times New Roman"/>
          <w:sz w:val="18"/>
          <w:lang w:val="en-US"/>
        </w:rPr>
        <w:t xml:space="preserve"> P., </w:t>
      </w:r>
      <w:r w:rsidR="00CF31F2" w:rsidRPr="00CF31F2">
        <w:rPr>
          <w:rFonts w:ascii="Times New Roman" w:eastAsia="Times New Roman" w:hAnsi="Times New Roman" w:cs="Times New Roman"/>
          <w:sz w:val="18"/>
          <w:lang w:val="en-US"/>
        </w:rPr>
        <w:t>Reutzel-Edens</w:t>
      </w:r>
      <w:r w:rsidR="00CF31F2">
        <w:rPr>
          <w:rFonts w:ascii="Times New Roman" w:eastAsia="Times New Roman" w:hAnsi="Times New Roman" w:cs="Times New Roman"/>
          <w:sz w:val="18"/>
          <w:lang w:val="en-US"/>
        </w:rPr>
        <w:t xml:space="preserve">, S. M. &amp; </w:t>
      </w:r>
      <w:r w:rsidR="00CF31F2" w:rsidRPr="00CF31F2">
        <w:rPr>
          <w:rFonts w:ascii="Times New Roman" w:eastAsia="Times New Roman" w:hAnsi="Times New Roman" w:cs="Times New Roman"/>
          <w:sz w:val="18"/>
          <w:lang w:val="en-US"/>
        </w:rPr>
        <w:t>Cruz-Cabeza</w:t>
      </w:r>
      <w:r w:rsidR="00CF31F2">
        <w:rPr>
          <w:rFonts w:ascii="Times New Roman" w:eastAsia="Times New Roman" w:hAnsi="Times New Roman" w:cs="Times New Roman"/>
          <w:sz w:val="18"/>
          <w:lang w:val="en-US"/>
        </w:rPr>
        <w:t xml:space="preserve">, A. J. (2021) </w:t>
      </w:r>
      <w:proofErr w:type="spellStart"/>
      <w:r w:rsidR="00CF31F2" w:rsidRPr="00CF31F2">
        <w:rPr>
          <w:rFonts w:ascii="Times New Roman" w:eastAsia="Times New Roman" w:hAnsi="Times New Roman" w:cs="Times New Roman"/>
          <w:i/>
          <w:sz w:val="18"/>
          <w:lang w:val="en-US"/>
        </w:rPr>
        <w:t>CrystEngComm</w:t>
      </w:r>
      <w:proofErr w:type="spellEnd"/>
      <w:r w:rsidR="00CF31F2" w:rsidRPr="00CF31F2">
        <w:rPr>
          <w:rFonts w:ascii="Times New Roman" w:eastAsia="Times New Roman" w:hAnsi="Times New Roman" w:cs="Times New Roman"/>
          <w:sz w:val="18"/>
          <w:lang w:val="en-US"/>
        </w:rPr>
        <w:t xml:space="preserve">, </w:t>
      </w:r>
      <w:r w:rsidR="00CF31F2" w:rsidRPr="00CF31F2">
        <w:rPr>
          <w:rFonts w:ascii="Times New Roman" w:eastAsia="Times New Roman" w:hAnsi="Times New Roman" w:cs="Times New Roman"/>
          <w:b/>
          <w:sz w:val="18"/>
          <w:lang w:val="en-US"/>
        </w:rPr>
        <w:t>23</w:t>
      </w:r>
      <w:r w:rsidR="00CF31F2">
        <w:rPr>
          <w:rFonts w:ascii="Times New Roman" w:eastAsia="Times New Roman" w:hAnsi="Times New Roman" w:cs="Times New Roman"/>
          <w:sz w:val="18"/>
          <w:lang w:val="en-US"/>
        </w:rPr>
        <w:t>, 3636.</w:t>
      </w:r>
    </w:p>
    <w:p w:rsidR="007B4650" w:rsidRPr="00940C8B" w:rsidRDefault="007B4650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</w:rPr>
      </w:pPr>
      <w:r w:rsidRPr="00940C8B">
        <w:rPr>
          <w:rFonts w:ascii="Times New Roman" w:eastAsia="Times New Roman" w:hAnsi="Times New Roman" w:cs="Times New Roman"/>
          <w:sz w:val="18"/>
        </w:rPr>
        <w:t>[5]</w:t>
      </w:r>
      <w:r w:rsidR="00E44458" w:rsidRPr="00940C8B">
        <w:rPr>
          <w:rFonts w:ascii="Times New Roman" w:eastAsia="Times New Roman" w:hAnsi="Times New Roman" w:cs="Times New Roman"/>
          <w:sz w:val="18"/>
        </w:rPr>
        <w:t xml:space="preserve"> </w:t>
      </w:r>
      <w:r w:rsidR="006548AB">
        <w:rPr>
          <w:rFonts w:ascii="Times New Roman" w:eastAsia="Times New Roman" w:hAnsi="Times New Roman" w:cs="Times New Roman"/>
          <w:sz w:val="18"/>
        </w:rPr>
        <w:t>Krawczyk, M. S. &amp;</w:t>
      </w:r>
      <w:r w:rsidR="00940C8B" w:rsidRPr="00940C8B">
        <w:rPr>
          <w:rFonts w:ascii="Times New Roman" w:eastAsia="Times New Roman" w:hAnsi="Times New Roman" w:cs="Times New Roman"/>
          <w:sz w:val="18"/>
        </w:rPr>
        <w:t xml:space="preserve"> Majerz, I.</w:t>
      </w:r>
      <w:r w:rsidR="00940C8B">
        <w:rPr>
          <w:rFonts w:ascii="Times New Roman" w:eastAsia="Times New Roman" w:hAnsi="Times New Roman" w:cs="Times New Roman"/>
          <w:sz w:val="18"/>
        </w:rPr>
        <w:t xml:space="preserve"> </w:t>
      </w:r>
      <w:r w:rsidR="00940C8B" w:rsidRPr="00940C8B">
        <w:rPr>
          <w:rFonts w:ascii="Times New Roman" w:eastAsia="Times New Roman" w:hAnsi="Times New Roman" w:cs="Times New Roman"/>
          <w:sz w:val="18"/>
        </w:rPr>
        <w:t xml:space="preserve">(2022) </w:t>
      </w:r>
      <w:proofErr w:type="spellStart"/>
      <w:r w:rsidR="00E44458" w:rsidRPr="00940C8B">
        <w:rPr>
          <w:rFonts w:ascii="Times New Roman" w:eastAsia="Times New Roman" w:hAnsi="Times New Roman" w:cs="Times New Roman"/>
          <w:i/>
          <w:sz w:val="18"/>
        </w:rPr>
        <w:t>Cryst</w:t>
      </w:r>
      <w:proofErr w:type="spellEnd"/>
      <w:r w:rsidR="00E44458" w:rsidRPr="00940C8B">
        <w:rPr>
          <w:rFonts w:ascii="Times New Roman" w:eastAsia="Times New Roman" w:hAnsi="Times New Roman" w:cs="Times New Roman"/>
          <w:i/>
          <w:sz w:val="18"/>
        </w:rPr>
        <w:t>. Growth Des</w:t>
      </w:r>
      <w:r w:rsidR="00940C8B" w:rsidRPr="00940C8B">
        <w:rPr>
          <w:rFonts w:ascii="Times New Roman" w:eastAsia="Times New Roman" w:hAnsi="Times New Roman" w:cs="Times New Roman"/>
          <w:sz w:val="18"/>
        </w:rPr>
        <w:t>.</w:t>
      </w:r>
      <w:r w:rsidR="00E44458" w:rsidRPr="00940C8B">
        <w:rPr>
          <w:rFonts w:ascii="Times New Roman" w:eastAsia="Times New Roman" w:hAnsi="Times New Roman" w:cs="Times New Roman"/>
          <w:sz w:val="18"/>
        </w:rPr>
        <w:t xml:space="preserve"> </w:t>
      </w:r>
      <w:r w:rsidR="00E44458" w:rsidRPr="00940C8B">
        <w:rPr>
          <w:rFonts w:ascii="Times New Roman" w:eastAsia="Times New Roman" w:hAnsi="Times New Roman" w:cs="Times New Roman"/>
          <w:b/>
          <w:sz w:val="18"/>
        </w:rPr>
        <w:t>22</w:t>
      </w:r>
      <w:r w:rsidR="00940C8B" w:rsidRPr="00940C8B">
        <w:rPr>
          <w:rFonts w:ascii="Times New Roman" w:eastAsia="Times New Roman" w:hAnsi="Times New Roman" w:cs="Times New Roman"/>
          <w:sz w:val="18"/>
        </w:rPr>
        <w:t>, 1554.</w:t>
      </w:r>
    </w:p>
    <w:p w:rsidR="007B4650" w:rsidRPr="00940C8B" w:rsidRDefault="007B4650" w:rsidP="00940C8B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</w:rPr>
      </w:pPr>
      <w:r w:rsidRPr="00940C8B">
        <w:rPr>
          <w:rFonts w:ascii="Times New Roman" w:eastAsia="Times New Roman" w:hAnsi="Times New Roman" w:cs="Times New Roman"/>
          <w:sz w:val="18"/>
        </w:rPr>
        <w:t>[6]</w:t>
      </w:r>
      <w:r w:rsidR="00940C8B">
        <w:rPr>
          <w:rFonts w:ascii="Times New Roman" w:eastAsia="Times New Roman" w:hAnsi="Times New Roman" w:cs="Times New Roman"/>
          <w:sz w:val="18"/>
        </w:rPr>
        <w:t xml:space="preserve"> </w:t>
      </w:r>
      <w:r w:rsidR="006548AB" w:rsidRPr="00940C8B">
        <w:rPr>
          <w:rFonts w:ascii="Times New Roman" w:eastAsia="Times New Roman" w:hAnsi="Times New Roman" w:cs="Times New Roman"/>
          <w:sz w:val="18"/>
        </w:rPr>
        <w:t>Krawczyk, M. S.,</w:t>
      </w:r>
      <w:r w:rsidR="006548AB">
        <w:rPr>
          <w:rFonts w:ascii="Times New Roman" w:eastAsia="Times New Roman" w:hAnsi="Times New Roman" w:cs="Times New Roman"/>
          <w:sz w:val="18"/>
        </w:rPr>
        <w:t xml:space="preserve"> Krawczyk, M. K. &amp;</w:t>
      </w:r>
      <w:r w:rsidR="006548AB" w:rsidRPr="00940C8B">
        <w:rPr>
          <w:rFonts w:ascii="Times New Roman" w:eastAsia="Times New Roman" w:hAnsi="Times New Roman" w:cs="Times New Roman"/>
          <w:sz w:val="18"/>
        </w:rPr>
        <w:t xml:space="preserve"> Majerz, I.</w:t>
      </w:r>
      <w:r w:rsidR="006548AB">
        <w:rPr>
          <w:rFonts w:ascii="Times New Roman" w:eastAsia="Times New Roman" w:hAnsi="Times New Roman" w:cs="Times New Roman"/>
          <w:sz w:val="18"/>
        </w:rPr>
        <w:t xml:space="preserve"> </w:t>
      </w:r>
      <w:r w:rsidR="00940C8B">
        <w:rPr>
          <w:rFonts w:ascii="Times New Roman" w:eastAsia="Times New Roman" w:hAnsi="Times New Roman" w:cs="Times New Roman"/>
          <w:sz w:val="18"/>
        </w:rPr>
        <w:t xml:space="preserve">(2023) </w:t>
      </w:r>
      <w:proofErr w:type="spellStart"/>
      <w:r w:rsidR="00940C8B" w:rsidRPr="00940C8B">
        <w:rPr>
          <w:rFonts w:ascii="Times New Roman" w:eastAsia="Times New Roman" w:hAnsi="Times New Roman" w:cs="Times New Roman"/>
          <w:i/>
          <w:sz w:val="18"/>
        </w:rPr>
        <w:t>CrystEngComm</w:t>
      </w:r>
      <w:proofErr w:type="spellEnd"/>
      <w:r w:rsidR="00940C8B" w:rsidRPr="00940C8B">
        <w:rPr>
          <w:rFonts w:ascii="Times New Roman" w:eastAsia="Times New Roman" w:hAnsi="Times New Roman" w:cs="Times New Roman"/>
          <w:sz w:val="18"/>
        </w:rPr>
        <w:t xml:space="preserve">, </w:t>
      </w:r>
      <w:r w:rsidR="00940C8B" w:rsidRPr="00940C8B">
        <w:rPr>
          <w:rFonts w:ascii="Times New Roman" w:eastAsia="Times New Roman" w:hAnsi="Times New Roman" w:cs="Times New Roman"/>
          <w:b/>
          <w:sz w:val="18"/>
        </w:rPr>
        <w:t>25</w:t>
      </w:r>
      <w:r w:rsidR="00940C8B" w:rsidRPr="00940C8B">
        <w:rPr>
          <w:rFonts w:ascii="Times New Roman" w:eastAsia="Times New Roman" w:hAnsi="Times New Roman" w:cs="Times New Roman"/>
          <w:sz w:val="18"/>
        </w:rPr>
        <w:t>,</w:t>
      </w:r>
      <w:r w:rsidR="00940C8B">
        <w:rPr>
          <w:rFonts w:ascii="Times New Roman" w:eastAsia="Times New Roman" w:hAnsi="Times New Roman" w:cs="Times New Roman"/>
          <w:sz w:val="18"/>
        </w:rPr>
        <w:t xml:space="preserve"> </w:t>
      </w:r>
      <w:r w:rsidR="00940C8B" w:rsidRPr="00940C8B">
        <w:rPr>
          <w:rFonts w:ascii="Times New Roman" w:eastAsia="Times New Roman" w:hAnsi="Times New Roman" w:cs="Times New Roman"/>
          <w:sz w:val="18"/>
        </w:rPr>
        <w:t>6748</w:t>
      </w:r>
      <w:r w:rsidR="00940C8B">
        <w:rPr>
          <w:rFonts w:ascii="Times New Roman" w:eastAsia="Times New Roman" w:hAnsi="Times New Roman" w:cs="Times New Roman"/>
          <w:sz w:val="18"/>
        </w:rPr>
        <w:t>.</w:t>
      </w:r>
    </w:p>
    <w:p w:rsidR="00A043FF" w:rsidRPr="00940C8B" w:rsidRDefault="007B4650" w:rsidP="00A043FF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</w:rPr>
      </w:pPr>
      <w:r w:rsidRPr="00940C8B">
        <w:rPr>
          <w:rFonts w:ascii="Times New Roman" w:eastAsia="Times New Roman" w:hAnsi="Times New Roman" w:cs="Times New Roman"/>
          <w:sz w:val="18"/>
        </w:rPr>
        <w:t>[7]</w:t>
      </w:r>
      <w:r w:rsidR="00A043FF" w:rsidRPr="00A043FF">
        <w:rPr>
          <w:rFonts w:ascii="Times New Roman" w:eastAsia="Times New Roman" w:hAnsi="Times New Roman" w:cs="Times New Roman"/>
          <w:sz w:val="18"/>
        </w:rPr>
        <w:t xml:space="preserve"> </w:t>
      </w:r>
      <w:r w:rsidR="00A043FF" w:rsidRPr="00940C8B">
        <w:rPr>
          <w:rFonts w:ascii="Times New Roman" w:eastAsia="Times New Roman" w:hAnsi="Times New Roman" w:cs="Times New Roman"/>
          <w:sz w:val="18"/>
        </w:rPr>
        <w:t>Krawczyk, M. S.,</w:t>
      </w:r>
      <w:r w:rsidR="00A043FF">
        <w:rPr>
          <w:rFonts w:ascii="Times New Roman" w:eastAsia="Times New Roman" w:hAnsi="Times New Roman" w:cs="Times New Roman"/>
          <w:sz w:val="18"/>
        </w:rPr>
        <w:t xml:space="preserve"> Krawczyk, M. K. &amp;</w:t>
      </w:r>
      <w:r w:rsidR="00A043FF" w:rsidRPr="00940C8B">
        <w:rPr>
          <w:rFonts w:ascii="Times New Roman" w:eastAsia="Times New Roman" w:hAnsi="Times New Roman" w:cs="Times New Roman"/>
          <w:sz w:val="18"/>
        </w:rPr>
        <w:t xml:space="preserve"> Majerz, I.</w:t>
      </w:r>
      <w:r w:rsidR="00A043FF">
        <w:rPr>
          <w:rFonts w:ascii="Times New Roman" w:eastAsia="Times New Roman" w:hAnsi="Times New Roman" w:cs="Times New Roman"/>
          <w:sz w:val="18"/>
        </w:rPr>
        <w:t xml:space="preserve"> (2025) Acta </w:t>
      </w:r>
      <w:proofErr w:type="spellStart"/>
      <w:r w:rsidR="00A043FF">
        <w:rPr>
          <w:rFonts w:ascii="Times New Roman" w:eastAsia="Times New Roman" w:hAnsi="Times New Roman" w:cs="Times New Roman"/>
          <w:sz w:val="18"/>
        </w:rPr>
        <w:t>Cryst</w:t>
      </w:r>
      <w:proofErr w:type="spellEnd"/>
      <w:r w:rsidR="00A043FF">
        <w:rPr>
          <w:rFonts w:ascii="Times New Roman" w:eastAsia="Times New Roman" w:hAnsi="Times New Roman" w:cs="Times New Roman"/>
          <w:sz w:val="18"/>
        </w:rPr>
        <w:t>.</w:t>
      </w:r>
      <w:r w:rsidR="00A043FF" w:rsidRPr="00A043FF">
        <w:rPr>
          <w:rFonts w:ascii="Times New Roman" w:eastAsia="Times New Roman" w:hAnsi="Times New Roman" w:cs="Times New Roman"/>
          <w:sz w:val="18"/>
        </w:rPr>
        <w:t xml:space="preserve"> B</w:t>
      </w:r>
      <w:r w:rsidR="00A043FF" w:rsidRPr="00A043FF">
        <w:rPr>
          <w:rFonts w:ascii="Times New Roman" w:eastAsia="Times New Roman" w:hAnsi="Times New Roman" w:cs="Times New Roman"/>
          <w:b/>
          <w:sz w:val="18"/>
        </w:rPr>
        <w:t>81</w:t>
      </w:r>
      <w:r w:rsidR="00A043FF" w:rsidRPr="00A043FF">
        <w:rPr>
          <w:rFonts w:ascii="Times New Roman" w:eastAsia="Times New Roman" w:hAnsi="Times New Roman" w:cs="Times New Roman"/>
          <w:sz w:val="18"/>
        </w:rPr>
        <w:t>, 92</w:t>
      </w:r>
      <w:r w:rsidR="00A043FF">
        <w:rPr>
          <w:rFonts w:ascii="Times New Roman" w:eastAsia="Times New Roman" w:hAnsi="Times New Roman" w:cs="Times New Roman"/>
          <w:i/>
          <w:sz w:val="18"/>
        </w:rPr>
        <w:t>.</w:t>
      </w:r>
    </w:p>
    <w:p w:rsidR="007B4650" w:rsidRPr="00940C8B" w:rsidRDefault="007B4650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</w:rPr>
      </w:pPr>
    </w:p>
    <w:p w:rsidR="007B4650" w:rsidRDefault="007B4650">
      <w:pPr>
        <w:keepNext/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0"/>
        </w:rPr>
      </w:pPr>
    </w:p>
    <w:sectPr w:rsidR="007B4650" w:rsidSect="00D6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E16F38"/>
    <w:rsid w:val="000253E6"/>
    <w:rsid w:val="000342D6"/>
    <w:rsid w:val="00094263"/>
    <w:rsid w:val="000A3288"/>
    <w:rsid w:val="000E7D1B"/>
    <w:rsid w:val="002119C1"/>
    <w:rsid w:val="002852BC"/>
    <w:rsid w:val="003D6EE9"/>
    <w:rsid w:val="003E00F2"/>
    <w:rsid w:val="00434A11"/>
    <w:rsid w:val="004D5824"/>
    <w:rsid w:val="006548AB"/>
    <w:rsid w:val="007B4650"/>
    <w:rsid w:val="00805243"/>
    <w:rsid w:val="00940C8B"/>
    <w:rsid w:val="00972DEC"/>
    <w:rsid w:val="009B1D95"/>
    <w:rsid w:val="00A043FF"/>
    <w:rsid w:val="00A319CD"/>
    <w:rsid w:val="00A662F4"/>
    <w:rsid w:val="00AA7FBE"/>
    <w:rsid w:val="00B10627"/>
    <w:rsid w:val="00BC6BA4"/>
    <w:rsid w:val="00CF31F2"/>
    <w:rsid w:val="00D3664D"/>
    <w:rsid w:val="00D66091"/>
    <w:rsid w:val="00DD27FE"/>
    <w:rsid w:val="00E16F38"/>
    <w:rsid w:val="00E44458"/>
    <w:rsid w:val="00E92282"/>
    <w:rsid w:val="00EC4948"/>
    <w:rsid w:val="00EE3B92"/>
    <w:rsid w:val="00EF6B9D"/>
    <w:rsid w:val="00F72A24"/>
    <w:rsid w:val="00F76599"/>
    <w:rsid w:val="00FB51C1"/>
    <w:rsid w:val="00FD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Krawczyk</dc:creator>
  <cp:lastModifiedBy>mkrawczyk</cp:lastModifiedBy>
  <cp:revision>2</cp:revision>
  <dcterms:created xsi:type="dcterms:W3CDTF">2025-05-10T20:11:00Z</dcterms:created>
  <dcterms:modified xsi:type="dcterms:W3CDTF">2025-05-10T20:11:00Z</dcterms:modified>
</cp:coreProperties>
</file>