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932" w:rsidRDefault="000D7932" w:rsidP="00462759">
      <w:pPr>
        <w:pStyle w:val="Ttulo2"/>
        <w:rPr>
          <w:kern w:val="2"/>
          <w:sz w:val="24"/>
          <w:szCs w:val="32"/>
        </w:rPr>
      </w:pPr>
      <w:r w:rsidRPr="000D7932">
        <w:rPr>
          <w:kern w:val="2"/>
          <w:sz w:val="24"/>
          <w:szCs w:val="32"/>
        </w:rPr>
        <w:t>Development of fragment-based workflows that enable rapid and cost-effective discovery of drug-like protein-protein interaction modulators targeting the Neuronal Calcium Sensor 1 </w:t>
      </w:r>
    </w:p>
    <w:p w:rsidR="00462759" w:rsidRPr="006406C4" w:rsidRDefault="00462759" w:rsidP="006406C4">
      <w:pPr>
        <w:jc w:val="center"/>
        <w:rPr>
          <w:rFonts w:ascii="Arial" w:hAnsi="Arial" w:cs="Arial"/>
          <w:b/>
          <w:bCs/>
          <w:vertAlign w:val="superscript"/>
          <w:lang w:val="en-US" w:eastAsia="es-ES_tradnl"/>
        </w:rPr>
      </w:pPr>
      <w:r w:rsidRPr="006406C4">
        <w:rPr>
          <w:rFonts w:ascii="Arial" w:hAnsi="Arial" w:cs="Arial"/>
          <w:b/>
          <w:bCs/>
          <w:lang w:val="en-US" w:eastAsia="es-ES_tradnl"/>
        </w:rPr>
        <w:t>Daniel Muñoz-Reyes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1</w:t>
      </w:r>
      <w:r w:rsidRPr="006406C4">
        <w:rPr>
          <w:rFonts w:ascii="Arial" w:hAnsi="Arial" w:cs="Arial"/>
          <w:b/>
          <w:bCs/>
          <w:lang w:val="en-US" w:eastAsia="es-ES_tradnl"/>
        </w:rPr>
        <w:t xml:space="preserve">, </w:t>
      </w:r>
      <w:r w:rsidR="00160E24" w:rsidRPr="006406C4">
        <w:rPr>
          <w:rFonts w:ascii="Arial" w:hAnsi="Arial" w:cs="Arial"/>
          <w:b/>
          <w:bCs/>
          <w:lang w:val="en-US" w:eastAsia="es-ES_tradnl"/>
        </w:rPr>
        <w:t>Warren Thompson</w:t>
      </w:r>
      <w:r w:rsidR="00160E24"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="00160E24" w:rsidRPr="006406C4">
        <w:rPr>
          <w:rFonts w:ascii="Arial" w:hAnsi="Arial" w:cs="Arial"/>
          <w:b/>
          <w:bCs/>
          <w:lang w:val="en-US" w:eastAsia="es-ES_tradnl"/>
        </w:rPr>
        <w:t>,</w:t>
      </w:r>
      <w:r w:rsidR="00160E24">
        <w:rPr>
          <w:rFonts w:ascii="Arial" w:hAnsi="Arial" w:cs="Arial"/>
          <w:b/>
          <w:bCs/>
          <w:lang w:val="en-US" w:eastAsia="es-ES_tradnl"/>
        </w:rPr>
        <w:t xml:space="preserve"> </w:t>
      </w:r>
      <w:r w:rsidR="00160E24" w:rsidRPr="006406C4">
        <w:rPr>
          <w:rFonts w:ascii="Arial" w:hAnsi="Arial" w:cs="Arial"/>
          <w:b/>
          <w:bCs/>
          <w:lang w:val="en-US" w:eastAsia="es-ES_tradnl"/>
        </w:rPr>
        <w:t>Daren Fearon</w:t>
      </w:r>
      <w:r w:rsidR="00160E24"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="00160E24" w:rsidRPr="006406C4">
        <w:rPr>
          <w:rFonts w:ascii="Arial" w:hAnsi="Arial" w:cs="Arial"/>
          <w:b/>
          <w:bCs/>
          <w:lang w:val="en-US" w:eastAsia="es-ES_tradnl"/>
        </w:rPr>
        <w:t xml:space="preserve">, </w:t>
      </w:r>
      <w:r w:rsidRPr="006406C4">
        <w:rPr>
          <w:rFonts w:ascii="Arial" w:hAnsi="Arial" w:cs="Arial"/>
          <w:b/>
          <w:bCs/>
          <w:lang w:val="en-US" w:eastAsia="es-ES_tradnl"/>
        </w:rPr>
        <w:t>Kate Fieseler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3</w:t>
      </w:r>
      <w:r w:rsidR="00292FEE">
        <w:rPr>
          <w:rFonts w:ascii="Arial" w:hAnsi="Arial" w:cs="Arial"/>
          <w:b/>
          <w:bCs/>
          <w:vertAlign w:val="superscript"/>
          <w:lang w:val="en-US" w:eastAsia="es-ES_tradnl"/>
        </w:rPr>
        <w:t>,4,5</w:t>
      </w:r>
      <w:r w:rsidRPr="006406C4">
        <w:rPr>
          <w:rFonts w:ascii="Arial" w:hAnsi="Arial" w:cs="Arial"/>
          <w:b/>
          <w:bCs/>
          <w:lang w:val="en-US" w:eastAsia="es-ES_tradnl"/>
        </w:rPr>
        <w:t>, Eda Capkin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Pr="006406C4">
        <w:rPr>
          <w:rFonts w:ascii="Arial" w:hAnsi="Arial" w:cs="Arial"/>
          <w:b/>
          <w:bCs/>
          <w:lang w:val="en-US" w:eastAsia="es-ES_tradnl"/>
        </w:rPr>
        <w:t>, Matteo Ferla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Pr="006406C4">
        <w:rPr>
          <w:rFonts w:ascii="Arial" w:hAnsi="Arial" w:cs="Arial"/>
          <w:b/>
          <w:bCs/>
          <w:lang w:val="en-US" w:eastAsia="es-ES_tradnl"/>
        </w:rPr>
        <w:t>, Max Winokan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Pr="006406C4">
        <w:rPr>
          <w:rFonts w:ascii="Arial" w:hAnsi="Arial" w:cs="Arial"/>
          <w:b/>
          <w:bCs/>
          <w:lang w:val="en-US" w:eastAsia="es-ES_tradnl"/>
        </w:rPr>
        <w:t>, Mathew Golding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</w:t>
      </w:r>
      <w:r w:rsidRPr="006406C4">
        <w:rPr>
          <w:rFonts w:ascii="Arial" w:hAnsi="Arial" w:cs="Arial"/>
          <w:b/>
          <w:bCs/>
          <w:lang w:val="en-US" w:eastAsia="es-ES_tradnl"/>
        </w:rPr>
        <w:t>, Sara Pérez-Suárez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1</w:t>
      </w:r>
      <w:r w:rsidRPr="006406C4">
        <w:rPr>
          <w:rFonts w:ascii="Arial" w:hAnsi="Arial" w:cs="Arial"/>
          <w:b/>
          <w:bCs/>
          <w:lang w:val="en-US" w:eastAsia="es-ES_tradnl"/>
        </w:rPr>
        <w:t>, Celia Miró-Rodríguez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1</w:t>
      </w:r>
      <w:r w:rsidRPr="006406C4">
        <w:rPr>
          <w:rFonts w:ascii="Arial" w:hAnsi="Arial" w:cs="Arial"/>
          <w:b/>
          <w:bCs/>
          <w:lang w:val="en-US" w:eastAsia="es-ES_tradnl"/>
        </w:rPr>
        <w:t>, Lorena Aguado</w:t>
      </w:r>
      <w:r w:rsidR="00292FEE">
        <w:rPr>
          <w:rFonts w:ascii="Arial" w:hAnsi="Arial" w:cs="Arial"/>
          <w:b/>
          <w:bCs/>
          <w:vertAlign w:val="superscript"/>
          <w:lang w:val="en-US" w:eastAsia="es-ES_tradnl"/>
        </w:rPr>
        <w:t>6</w:t>
      </w:r>
      <w:r w:rsidRPr="006406C4">
        <w:rPr>
          <w:rFonts w:ascii="Arial" w:hAnsi="Arial" w:cs="Arial"/>
          <w:b/>
          <w:bCs/>
          <w:lang w:val="en-US" w:eastAsia="es-ES_tradnl"/>
        </w:rPr>
        <w:t xml:space="preserve">, </w:t>
      </w:r>
      <w:r w:rsidR="00292FEE">
        <w:rPr>
          <w:rFonts w:ascii="Arial" w:hAnsi="Arial" w:cs="Arial"/>
          <w:b/>
          <w:bCs/>
          <w:lang w:val="en-US" w:eastAsia="es-ES_tradnl"/>
        </w:rPr>
        <w:t xml:space="preserve">Alicia </w:t>
      </w:r>
      <w:r w:rsidRPr="006406C4">
        <w:rPr>
          <w:rFonts w:ascii="Arial" w:hAnsi="Arial" w:cs="Arial"/>
          <w:b/>
          <w:bCs/>
          <w:lang w:val="en-US" w:eastAsia="es-ES_tradnl"/>
        </w:rPr>
        <w:t>Mansilla</w:t>
      </w:r>
      <w:r w:rsidR="00292FEE">
        <w:rPr>
          <w:rFonts w:ascii="Arial" w:hAnsi="Arial" w:cs="Arial"/>
          <w:b/>
          <w:bCs/>
          <w:vertAlign w:val="superscript"/>
          <w:lang w:val="en-US" w:eastAsia="es-ES_tradnl"/>
        </w:rPr>
        <w:t>6</w:t>
      </w:r>
      <w:r w:rsidRPr="006406C4">
        <w:rPr>
          <w:rFonts w:ascii="Arial" w:hAnsi="Arial" w:cs="Arial"/>
          <w:b/>
          <w:bCs/>
          <w:lang w:val="en-US" w:eastAsia="es-ES_tradnl"/>
        </w:rPr>
        <w:t>, Frank von Delft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2,3,</w:t>
      </w:r>
      <w:r w:rsidR="00292FEE">
        <w:rPr>
          <w:rFonts w:ascii="Arial" w:hAnsi="Arial" w:cs="Arial"/>
          <w:b/>
          <w:bCs/>
          <w:vertAlign w:val="superscript"/>
          <w:lang w:val="en-US" w:eastAsia="es-ES_tradnl"/>
        </w:rPr>
        <w:t>4</w:t>
      </w:r>
      <w:r w:rsidRPr="006406C4">
        <w:rPr>
          <w:rFonts w:ascii="Arial" w:hAnsi="Arial" w:cs="Arial"/>
          <w:b/>
          <w:bCs/>
          <w:lang w:val="en-US" w:eastAsia="es-ES_tradnl"/>
        </w:rPr>
        <w:t>, Sánchez-</w:t>
      </w:r>
      <w:proofErr w:type="spellStart"/>
      <w:r w:rsidRPr="006406C4">
        <w:rPr>
          <w:rFonts w:ascii="Arial" w:hAnsi="Arial" w:cs="Arial"/>
          <w:b/>
          <w:bCs/>
          <w:lang w:val="en-US" w:eastAsia="es-ES_tradnl"/>
        </w:rPr>
        <w:t>Barrena</w:t>
      </w:r>
      <w:proofErr w:type="spellEnd"/>
      <w:r w:rsidRPr="006406C4">
        <w:rPr>
          <w:rFonts w:ascii="Arial" w:hAnsi="Arial" w:cs="Arial"/>
          <w:b/>
          <w:bCs/>
          <w:lang w:val="en-US" w:eastAsia="es-ES_tradnl"/>
        </w:rPr>
        <w:t xml:space="preserve"> MJ</w:t>
      </w:r>
      <w:r w:rsidRPr="006406C4">
        <w:rPr>
          <w:rFonts w:ascii="Arial" w:hAnsi="Arial" w:cs="Arial"/>
          <w:b/>
          <w:bCs/>
          <w:vertAlign w:val="superscript"/>
          <w:lang w:val="en-US" w:eastAsia="es-ES_tradnl"/>
        </w:rPr>
        <w:t>1</w:t>
      </w:r>
    </w:p>
    <w:p w:rsidR="00462759" w:rsidRPr="00292FEE" w:rsidRDefault="00462759" w:rsidP="00462759">
      <w:pPr>
        <w:rPr>
          <w:i/>
          <w:iCs/>
          <w:lang w:val="es-ES"/>
        </w:rPr>
      </w:pPr>
      <w:r w:rsidRPr="00462759">
        <w:rPr>
          <w:rFonts w:eastAsia="Calibri"/>
          <w:i/>
          <w:iCs/>
          <w:vertAlign w:val="superscript"/>
        </w:rPr>
        <w:t>1</w:t>
      </w:r>
      <w:r w:rsidRPr="00462759">
        <w:rPr>
          <w:rFonts w:eastAsia="Calibri"/>
          <w:i/>
          <w:iCs/>
        </w:rPr>
        <w:t>Department of Crystallography and Structural Biology, Institute of Physical-Chemistry “Blas Cabrera”, CSIC, Madrid (Spain).</w:t>
      </w:r>
      <w:r w:rsidRPr="00462759">
        <w:rPr>
          <w:i/>
          <w:iCs/>
          <w:lang w:val="en-US"/>
        </w:rPr>
        <w:t xml:space="preserve"> </w:t>
      </w:r>
      <w:r w:rsidRPr="00462759">
        <w:rPr>
          <w:i/>
          <w:iCs/>
          <w:vertAlign w:val="superscript"/>
          <w:lang w:val="en-US"/>
        </w:rPr>
        <w:t>2</w:t>
      </w:r>
      <w:r w:rsidRPr="00462759">
        <w:rPr>
          <w:i/>
          <w:iCs/>
          <w:lang w:val="en-US"/>
        </w:rPr>
        <w:t xml:space="preserve">Diamond Light Source, Harwell Science &amp; Innovation Campus, </w:t>
      </w:r>
      <w:proofErr w:type="spellStart"/>
      <w:r w:rsidRPr="00462759">
        <w:rPr>
          <w:i/>
          <w:iCs/>
          <w:lang w:val="en-US"/>
        </w:rPr>
        <w:t>Didcot</w:t>
      </w:r>
      <w:proofErr w:type="spellEnd"/>
      <w:r w:rsidRPr="00462759">
        <w:rPr>
          <w:i/>
          <w:iCs/>
          <w:lang w:val="en-US"/>
        </w:rPr>
        <w:t xml:space="preserve">, United Kingdom. </w:t>
      </w:r>
      <w:r w:rsidRPr="00462759">
        <w:rPr>
          <w:i/>
          <w:iCs/>
          <w:vertAlign w:val="superscript"/>
          <w:lang w:val="en-US"/>
        </w:rPr>
        <w:t>3</w:t>
      </w:r>
      <w:r w:rsidRPr="00462759">
        <w:rPr>
          <w:i/>
          <w:iCs/>
          <w:lang w:val="en-US"/>
        </w:rPr>
        <w:t xml:space="preserve">Research Complex at Harwell, Harwell Science &amp; Innovation Campus, </w:t>
      </w:r>
      <w:proofErr w:type="spellStart"/>
      <w:r w:rsidRPr="00462759">
        <w:rPr>
          <w:i/>
          <w:iCs/>
          <w:lang w:val="en-US"/>
        </w:rPr>
        <w:t>Didcot</w:t>
      </w:r>
      <w:proofErr w:type="spellEnd"/>
      <w:r w:rsidRPr="00462759">
        <w:rPr>
          <w:i/>
          <w:iCs/>
          <w:lang w:val="en-US"/>
        </w:rPr>
        <w:t xml:space="preserve">, United Kingdom. </w:t>
      </w:r>
      <w:r w:rsidRPr="00462759">
        <w:rPr>
          <w:i/>
          <w:iCs/>
          <w:vertAlign w:val="superscript"/>
          <w:lang w:val="en-US"/>
        </w:rPr>
        <w:t>4</w:t>
      </w:r>
      <w:r w:rsidR="00292FEE" w:rsidRPr="00462759">
        <w:rPr>
          <w:i/>
          <w:iCs/>
          <w:lang w:val="en-US"/>
        </w:rPr>
        <w:t>Centre for Medicines Discovery, University of Oxford, Oxford, United Kingdom.</w:t>
      </w:r>
      <w:r w:rsidR="00292FEE">
        <w:rPr>
          <w:i/>
          <w:iCs/>
          <w:lang w:val="en-US"/>
        </w:rPr>
        <w:t xml:space="preserve"> </w:t>
      </w:r>
      <w:r w:rsidR="00292FEE">
        <w:rPr>
          <w:i/>
          <w:iCs/>
          <w:vertAlign w:val="superscript"/>
          <w:lang w:val="en-US"/>
        </w:rPr>
        <w:t>5</w:t>
      </w:r>
      <w:r w:rsidR="00292FEE" w:rsidRPr="00822664">
        <w:rPr>
          <w:i/>
          <w:iCs/>
          <w:lang w:val="en-US"/>
        </w:rPr>
        <w:t>Oxford Protein Informatics Group, Department of Statistics, University of Oxford, Oxford</w:t>
      </w:r>
      <w:r w:rsidR="00292FEE">
        <w:rPr>
          <w:i/>
          <w:iCs/>
          <w:lang w:val="en-US"/>
        </w:rPr>
        <w:t xml:space="preserve">, </w:t>
      </w:r>
      <w:r w:rsidR="00292FEE" w:rsidRPr="00822664">
        <w:rPr>
          <w:i/>
          <w:iCs/>
          <w:lang w:val="en-US"/>
        </w:rPr>
        <w:t>United Kingdom. </w:t>
      </w:r>
      <w:r w:rsidR="00292FEE">
        <w:rPr>
          <w:i/>
          <w:iCs/>
          <w:vertAlign w:val="superscript"/>
          <w:lang w:val="en-US"/>
        </w:rPr>
        <w:t xml:space="preserve"> </w:t>
      </w:r>
      <w:r w:rsidR="00292FEE" w:rsidRPr="00292FEE">
        <w:rPr>
          <w:i/>
          <w:iCs/>
          <w:vertAlign w:val="superscript"/>
          <w:lang w:val="es-ES"/>
        </w:rPr>
        <w:t>6</w:t>
      </w:r>
      <w:r w:rsidRPr="00292FEE">
        <w:rPr>
          <w:rFonts w:eastAsia="Calibri"/>
          <w:i/>
          <w:iCs/>
          <w:lang w:val="es-ES"/>
        </w:rPr>
        <w:t xml:space="preserve">Department </w:t>
      </w:r>
      <w:proofErr w:type="spellStart"/>
      <w:r w:rsidRPr="00292FEE">
        <w:rPr>
          <w:rFonts w:eastAsia="Calibri"/>
          <w:i/>
          <w:iCs/>
          <w:lang w:val="es-ES"/>
        </w:rPr>
        <w:t>of</w:t>
      </w:r>
      <w:proofErr w:type="spellEnd"/>
      <w:r w:rsidRPr="00292FEE">
        <w:rPr>
          <w:rFonts w:eastAsia="Calibri"/>
          <w:i/>
          <w:iCs/>
          <w:lang w:val="es-ES"/>
        </w:rPr>
        <w:t xml:space="preserve"> </w:t>
      </w:r>
      <w:proofErr w:type="spellStart"/>
      <w:r w:rsidRPr="00292FEE">
        <w:rPr>
          <w:rFonts w:eastAsia="Calibri"/>
          <w:i/>
          <w:iCs/>
          <w:lang w:val="es-ES"/>
        </w:rPr>
        <w:t>Neurobiology</w:t>
      </w:r>
      <w:proofErr w:type="spellEnd"/>
      <w:r w:rsidRPr="00292FEE">
        <w:rPr>
          <w:rFonts w:eastAsia="Calibri"/>
          <w:i/>
          <w:iCs/>
          <w:lang w:val="es-ES"/>
        </w:rPr>
        <w:t>, Instituto Ramón y Cajal de Investigación Sanitaria, Hospital Universitario Ramón y Cajal, Madrid (</w:t>
      </w:r>
      <w:proofErr w:type="spellStart"/>
      <w:r w:rsidRPr="00292FEE">
        <w:rPr>
          <w:rFonts w:eastAsia="Calibri"/>
          <w:i/>
          <w:iCs/>
          <w:lang w:val="es-ES"/>
        </w:rPr>
        <w:t>Spain</w:t>
      </w:r>
      <w:proofErr w:type="spellEnd"/>
      <w:r w:rsidRPr="00292FEE">
        <w:rPr>
          <w:rFonts w:eastAsia="Calibri"/>
          <w:i/>
          <w:iCs/>
          <w:lang w:val="es-ES"/>
        </w:rPr>
        <w:t>)</w:t>
      </w:r>
      <w:r w:rsidRPr="00292FEE">
        <w:rPr>
          <w:i/>
          <w:iCs/>
          <w:lang w:val="es-ES"/>
        </w:rPr>
        <w:t xml:space="preserve"> </w:t>
      </w:r>
    </w:p>
    <w:p w:rsidR="003161BC" w:rsidRDefault="006406C4" w:rsidP="006406C4">
      <w:pPr>
        <w:pStyle w:val="Ttulo3"/>
        <w:rPr>
          <w:sz w:val="18"/>
          <w:szCs w:val="18"/>
        </w:rPr>
      </w:pPr>
      <w:r>
        <w:t xml:space="preserve">xmjose@iqf.csic.es </w:t>
      </w:r>
      <w:r>
        <w:rPr>
          <w:lang w:eastAsia="de-DE"/>
        </w:rPr>
        <w:br/>
      </w:r>
    </w:p>
    <w:p w:rsidR="006406C4" w:rsidRPr="006406C4" w:rsidRDefault="006406C4" w:rsidP="006406C4">
      <w:pPr>
        <w:rPr>
          <w:lang w:val="en-US"/>
        </w:rPr>
      </w:pPr>
      <w:r w:rsidRPr="006406C4">
        <w:rPr>
          <w:lang w:val="en-US"/>
        </w:rPr>
        <w:t>Neuronal Calcium Sensor 1 (NCS-1) plays a crucial role in regulating protein targets involved in G-protein signaling pathways, including the dopamine D2 and cannabinoid CB1 receptors, both of which are associated with neuronal disorders. Previous research has identified the interaction interface between NCS-1 and the G</w:t>
      </w:r>
      <w:r w:rsidR="00292FEE" w:rsidRPr="00292FEE">
        <w:rPr>
          <w:vertAlign w:val="subscript"/>
          <w:lang w:val="en-US"/>
        </w:rPr>
        <w:sym w:font="Symbol" w:char="F061"/>
      </w:r>
      <w:r w:rsidR="00292FEE">
        <w:rPr>
          <w:lang w:val="en-US"/>
        </w:rPr>
        <w:t xml:space="preserve"> </w:t>
      </w:r>
      <w:r w:rsidRPr="006406C4">
        <w:rPr>
          <w:lang w:val="en-US"/>
        </w:rPr>
        <w:t>chaperone and guanine nucleotide exchange factor Ric-8A as a promising therapeutic target, with potential applications in neurodegenerative and neurodevelopmental diseases</w:t>
      </w:r>
      <w:r>
        <w:rPr>
          <w:lang w:val="en-US"/>
        </w:rPr>
        <w:t xml:space="preserve"> </w:t>
      </w:r>
      <w:r>
        <w:rPr>
          <w:lang w:eastAsia="cs-CZ"/>
        </w:rPr>
        <w:t>[1,2,3]</w:t>
      </w:r>
      <w:r w:rsidRPr="006406C4">
        <w:rPr>
          <w:lang w:val="en-US"/>
        </w:rPr>
        <w:t>.</w:t>
      </w:r>
    </w:p>
    <w:p w:rsidR="006406C4" w:rsidRPr="006406C4" w:rsidRDefault="006406C4" w:rsidP="006406C4">
      <w:pPr>
        <w:rPr>
          <w:lang w:val="en-US"/>
        </w:rPr>
      </w:pPr>
      <w:r w:rsidRPr="006406C4">
        <w:rPr>
          <w:lang w:val="en-US"/>
        </w:rPr>
        <w:t xml:space="preserve">Building on insights from crystallographic fragment screening, streamlined and cost-efficient drug discovery workflows have been developed. By integrating semi-automated procedures and robotic systems for chemical synthesis, fragment-based compounds have been systematically designed, synthesized, and analyzed using X-ray crystallography and grating-coupled interferometry, directly from crude reaction mixtures. This approach has facilitated an extensive exploration of the chemical space at the NCS-1 protein-protein interaction (PPI) interface, leading to the identification of structurally diverse molecules with PPI modulatory activity. These compounds serve as a strong foundation for the development of selective hit-to-lead candidates with drug-like properties, tailored to different pharmacological targets. </w:t>
      </w:r>
    </w:p>
    <w:p w:rsidR="006406C4" w:rsidRPr="006406C4" w:rsidRDefault="006406C4">
      <w:pPr>
        <w:rPr>
          <w:lang w:val="en-US"/>
        </w:rPr>
      </w:pPr>
    </w:p>
    <w:p w:rsidR="006406C4" w:rsidRPr="003778DB" w:rsidRDefault="00000000" w:rsidP="003778DB">
      <w:pPr>
        <w:pStyle w:val="Ttulo4"/>
        <w:rPr>
          <w:lang w:val="es-ES"/>
        </w:rPr>
      </w:pPr>
      <w:r w:rsidRPr="003778DB">
        <w:rPr>
          <w:lang w:val="es-ES"/>
        </w:rPr>
        <w:t xml:space="preserve">[1] </w:t>
      </w:r>
      <w:r w:rsidR="003778DB" w:rsidRPr="003778DB">
        <w:rPr>
          <w:lang w:val="es-ES"/>
        </w:rPr>
        <w:t>Mansilla</w:t>
      </w:r>
      <w:r w:rsidR="003778DB">
        <w:rPr>
          <w:lang w:val="es-ES"/>
        </w:rPr>
        <w:t>, A.</w:t>
      </w:r>
      <w:r w:rsidR="003778DB" w:rsidRPr="003778DB">
        <w:rPr>
          <w:lang w:val="es-ES"/>
        </w:rPr>
        <w:t xml:space="preserve"> </w:t>
      </w:r>
      <w:r w:rsidR="003778DB" w:rsidRPr="003778DB">
        <w:rPr>
          <w:i/>
          <w:iCs/>
          <w:lang w:val="es-ES"/>
        </w:rPr>
        <w:t>et al.</w:t>
      </w:r>
      <w:r w:rsidR="003778DB" w:rsidRPr="003778DB">
        <w:rPr>
          <w:lang w:val="es-ES"/>
        </w:rPr>
        <w:t xml:space="preserve"> </w:t>
      </w:r>
      <w:r w:rsidR="003778DB">
        <w:rPr>
          <w:i/>
          <w:lang w:val="es-ES"/>
        </w:rPr>
        <w:t>(</w:t>
      </w:r>
      <w:r w:rsidR="003778DB" w:rsidRPr="003778DB">
        <w:rPr>
          <w:bCs w:val="0"/>
          <w:lang w:val="es-ES"/>
        </w:rPr>
        <w:t>2017</w:t>
      </w:r>
      <w:r w:rsidR="003778DB">
        <w:rPr>
          <w:bCs w:val="0"/>
          <w:lang w:val="es-ES"/>
        </w:rPr>
        <w:t xml:space="preserve">) </w:t>
      </w:r>
      <w:r w:rsidR="003778DB" w:rsidRPr="003778DB">
        <w:rPr>
          <w:i/>
          <w:lang w:val="es-ES"/>
        </w:rPr>
        <w:t>PNAS</w:t>
      </w:r>
      <w:r w:rsidR="003778DB" w:rsidRPr="003778DB">
        <w:rPr>
          <w:lang w:val="es-ES"/>
        </w:rPr>
        <w:t xml:space="preserve">, </w:t>
      </w:r>
      <w:r w:rsidR="003778DB" w:rsidRPr="003778DB">
        <w:rPr>
          <w:b/>
          <w:bCs w:val="0"/>
          <w:lang w:val="es-ES"/>
        </w:rPr>
        <w:t>114</w:t>
      </w:r>
      <w:r w:rsidR="003778DB" w:rsidRPr="003778DB">
        <w:rPr>
          <w:i/>
          <w:iCs/>
          <w:lang w:val="es-ES"/>
        </w:rPr>
        <w:t xml:space="preserve">, </w:t>
      </w:r>
      <w:r w:rsidR="003778DB" w:rsidRPr="003778DB">
        <w:rPr>
          <w:lang w:val="es-ES"/>
        </w:rPr>
        <w:t>E999–E1008.</w:t>
      </w:r>
    </w:p>
    <w:p w:rsidR="003778DB" w:rsidRPr="003778DB" w:rsidRDefault="00000000" w:rsidP="003778DB">
      <w:pPr>
        <w:pStyle w:val="Ttulo4"/>
      </w:pPr>
      <w:r w:rsidRPr="003778DB">
        <w:rPr>
          <w:lang w:val="es-ES"/>
        </w:rPr>
        <w:t xml:space="preserve">[2] </w:t>
      </w:r>
      <w:r w:rsidR="003778DB" w:rsidRPr="003778DB">
        <w:rPr>
          <w:lang w:val="es-ES"/>
        </w:rPr>
        <w:t>Canal-Martín</w:t>
      </w:r>
      <w:r w:rsidR="003778DB">
        <w:rPr>
          <w:lang w:val="es-ES"/>
        </w:rPr>
        <w:t>, A.</w:t>
      </w:r>
      <w:r w:rsidR="003778DB" w:rsidRPr="003778DB">
        <w:rPr>
          <w:lang w:val="es-ES"/>
        </w:rPr>
        <w:t xml:space="preserve"> </w:t>
      </w:r>
      <w:r w:rsidR="003778DB" w:rsidRPr="003778DB">
        <w:rPr>
          <w:i/>
          <w:iCs/>
          <w:lang w:val="es-ES"/>
        </w:rPr>
        <w:t>et al.</w:t>
      </w:r>
      <w:r w:rsidR="003778DB" w:rsidRPr="003778DB">
        <w:rPr>
          <w:lang w:val="es-ES"/>
        </w:rPr>
        <w:t xml:space="preserve"> </w:t>
      </w:r>
      <w:r w:rsidR="003778DB" w:rsidRPr="00292FEE">
        <w:rPr>
          <w:lang w:val="en-US"/>
        </w:rPr>
        <w:t>(2019)</w:t>
      </w:r>
      <w:r w:rsidR="003778DB" w:rsidRPr="00292FEE">
        <w:rPr>
          <w:b/>
          <w:lang w:val="en-US"/>
        </w:rPr>
        <w:t xml:space="preserve"> </w:t>
      </w:r>
      <w:r w:rsidR="003778DB" w:rsidRPr="00292FEE">
        <w:rPr>
          <w:i/>
          <w:iCs/>
          <w:lang w:val="en-US"/>
        </w:rPr>
        <w:t xml:space="preserve">Nat. </w:t>
      </w:r>
      <w:r w:rsidR="003778DB" w:rsidRPr="003778DB">
        <w:rPr>
          <w:i/>
          <w:iCs/>
          <w:lang w:val="en-US"/>
        </w:rPr>
        <w:t>Comms.</w:t>
      </w:r>
      <w:r w:rsidR="003778DB" w:rsidRPr="003778DB">
        <w:rPr>
          <w:lang w:val="en-US"/>
        </w:rPr>
        <w:t xml:space="preserve"> </w:t>
      </w:r>
      <w:r w:rsidR="003778DB" w:rsidRPr="003778DB">
        <w:rPr>
          <w:b/>
          <w:bCs w:val="0"/>
        </w:rPr>
        <w:t>10</w:t>
      </w:r>
      <w:r w:rsidR="003778DB" w:rsidRPr="003778DB">
        <w:rPr>
          <w:i/>
          <w:iCs/>
        </w:rPr>
        <w:t>, Art. No. 2798</w:t>
      </w:r>
      <w:r w:rsidR="003778DB" w:rsidRPr="003778DB">
        <w:rPr>
          <w:lang w:val="en-US"/>
        </w:rPr>
        <w:t>.</w:t>
      </w:r>
    </w:p>
    <w:p w:rsidR="003778DB" w:rsidRPr="003778DB" w:rsidRDefault="00000000" w:rsidP="003778DB">
      <w:pPr>
        <w:pStyle w:val="Ttulo4"/>
        <w:rPr>
          <w:u w:val="single"/>
          <w:lang w:val="es-ES"/>
        </w:rPr>
      </w:pPr>
      <w:r w:rsidRPr="00292FEE">
        <w:rPr>
          <w:lang w:val="en-US"/>
        </w:rPr>
        <w:t xml:space="preserve">[3] </w:t>
      </w:r>
      <w:r w:rsidR="003778DB" w:rsidRPr="00292FEE">
        <w:rPr>
          <w:lang w:val="en-US"/>
        </w:rPr>
        <w:t xml:space="preserve">Muñoz-Reyes D. </w:t>
      </w:r>
      <w:r w:rsidR="003778DB" w:rsidRPr="00292FEE">
        <w:rPr>
          <w:i/>
          <w:iCs/>
          <w:lang w:val="en-US"/>
        </w:rPr>
        <w:t xml:space="preserve">et al. </w:t>
      </w:r>
      <w:r w:rsidR="003778DB" w:rsidRPr="003778DB">
        <w:rPr>
          <w:lang w:val="es-ES"/>
        </w:rPr>
        <w:t>(2023)</w:t>
      </w:r>
      <w:r w:rsidR="003778DB">
        <w:rPr>
          <w:b/>
          <w:lang w:val="es-ES"/>
        </w:rPr>
        <w:t xml:space="preserve"> </w:t>
      </w:r>
      <w:proofErr w:type="spellStart"/>
      <w:r w:rsidR="003778DB" w:rsidRPr="003778DB">
        <w:rPr>
          <w:i/>
          <w:iCs/>
          <w:lang w:val="es-ES"/>
        </w:rPr>
        <w:t>eLife</w:t>
      </w:r>
      <w:proofErr w:type="spellEnd"/>
      <w:r w:rsidR="003778DB" w:rsidRPr="003778DB">
        <w:rPr>
          <w:i/>
          <w:iCs/>
          <w:lang w:val="es-ES"/>
        </w:rPr>
        <w:t xml:space="preserve"> </w:t>
      </w:r>
      <w:proofErr w:type="spellStart"/>
      <w:r w:rsidR="003778DB" w:rsidRPr="003778DB">
        <w:rPr>
          <w:i/>
          <w:iCs/>
          <w:lang w:val="es-ES"/>
        </w:rPr>
        <w:t>Journal</w:t>
      </w:r>
      <w:proofErr w:type="spellEnd"/>
      <w:r w:rsidR="003778DB" w:rsidRPr="003778DB">
        <w:rPr>
          <w:lang w:val="es-ES"/>
        </w:rPr>
        <w:t xml:space="preserve"> </w:t>
      </w:r>
      <w:r w:rsidR="003778DB" w:rsidRPr="003778DB">
        <w:rPr>
          <w:b/>
          <w:bCs w:val="0"/>
          <w:lang w:val="es-ES"/>
        </w:rPr>
        <w:t>12</w:t>
      </w:r>
      <w:r w:rsidR="003778DB">
        <w:rPr>
          <w:i/>
          <w:iCs/>
          <w:lang w:val="es-ES"/>
        </w:rPr>
        <w:t xml:space="preserve">, </w:t>
      </w:r>
      <w:r w:rsidR="003778DB" w:rsidRPr="003778DB">
        <w:rPr>
          <w:i/>
          <w:iCs/>
          <w:lang w:val="es-ES"/>
        </w:rPr>
        <w:t>e86151.</w:t>
      </w:r>
    </w:p>
    <w:p w:rsidR="003161BC" w:rsidRDefault="003161BC">
      <w:pPr>
        <w:pStyle w:val="Acknowledgement"/>
      </w:pPr>
    </w:p>
    <w:sectPr w:rsidR="00316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244" w:rsidRDefault="00CA1244">
      <w:pPr>
        <w:spacing w:after="0"/>
      </w:pPr>
      <w:r>
        <w:separator/>
      </w:r>
    </w:p>
  </w:endnote>
  <w:endnote w:type="continuationSeparator" w:id="0">
    <w:p w:rsidR="00CA1244" w:rsidRDefault="00CA12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319" w:rsidRDefault="00556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1BC" w:rsidRDefault="00000000">
    <w:pPr>
      <w:pStyle w:val="Piedepgin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3161BC" w:rsidRDefault="003161BC">
    <w:pPr>
      <w:tabs>
        <w:tab w:val="center" w:pos="4703"/>
        <w:tab w:val="right" w:pos="94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319" w:rsidRDefault="00556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244" w:rsidRDefault="00CA1244">
      <w:pPr>
        <w:spacing w:after="0"/>
      </w:pPr>
      <w:r>
        <w:separator/>
      </w:r>
    </w:p>
  </w:footnote>
  <w:footnote w:type="continuationSeparator" w:id="0">
    <w:p w:rsidR="00CA1244" w:rsidRDefault="00CA12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319" w:rsidRDefault="005563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1BC" w:rsidRDefault="00000000">
    <w:pPr>
      <w:tabs>
        <w:tab w:val="center" w:pos="4703"/>
        <w:tab w:val="right" w:pos="9406"/>
      </w:tabs>
    </w:pPr>
    <w:r>
      <w:rPr>
        <w:b/>
        <w:bCs/>
      </w:rPr>
      <w:t>M</w:t>
    </w:r>
    <w:r w:rsidR="00556319">
      <w:rPr>
        <w:b/>
        <w:bCs/>
      </w:rPr>
      <w:t>6</w:t>
    </w:r>
    <w:r>
      <w:tab/>
    </w:r>
    <w:proofErr w:type="spellStart"/>
    <w:r>
      <w:rPr>
        <w:b/>
        <w:bCs/>
      </w:rPr>
      <w:t>Microsymposium</w:t>
    </w:r>
    <w:proofErr w:type="spellEnd"/>
    <w:r w:rsidR="00556319" w:rsidRPr="00556319">
      <w:rPr>
        <w:i/>
        <w:iCs/>
      </w:rPr>
      <w:t xml:space="preserve"> </w:t>
    </w:r>
    <w:r w:rsidR="00556319" w:rsidRPr="00556319">
      <w:rPr>
        <w:b/>
        <w:bCs/>
      </w:rPr>
      <w:t>“Fragment screening and structural based drug discovery”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319" w:rsidRDefault="00556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BC"/>
    <w:rsid w:val="000D7932"/>
    <w:rsid w:val="00160E24"/>
    <w:rsid w:val="001E715C"/>
    <w:rsid w:val="00262747"/>
    <w:rsid w:val="00292FEE"/>
    <w:rsid w:val="003161BC"/>
    <w:rsid w:val="003778DB"/>
    <w:rsid w:val="00462759"/>
    <w:rsid w:val="0049568D"/>
    <w:rsid w:val="00556319"/>
    <w:rsid w:val="006406C4"/>
    <w:rsid w:val="00A1208E"/>
    <w:rsid w:val="00C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4E95"/>
  <w15:docId w15:val="{8426F2C6-D687-FE4B-96AF-AB0E6A91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tulo1">
    <w:name w:val="heading 1"/>
    <w:basedOn w:val="Normal"/>
    <w:next w:val="Ttulo2"/>
    <w:link w:val="Ttulo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Ttulo3"/>
    <w:link w:val="Ttulo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tulo4">
    <w:name w:val="heading 4"/>
    <w:basedOn w:val="Normal"/>
    <w:next w:val="Normal"/>
    <w:link w:val="Ttulo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tulo5">
    <w:name w:val="heading 5"/>
    <w:basedOn w:val="Ttulo6"/>
    <w:next w:val="Normal"/>
    <w:link w:val="Ttulo5Car"/>
    <w:uiPriority w:val="9"/>
    <w:unhideWhenUsed/>
    <w:qFormat/>
    <w:rsid w:val="00605A18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tulo2Car">
    <w:name w:val="Título 2 Car"/>
    <w:link w:val="Ttu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tulo3Car">
    <w:name w:val="Título 3 Car"/>
    <w:link w:val="Ttu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tulo4Car">
    <w:name w:val="Título 4 Car"/>
    <w:link w:val="Ttu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DireccinHTMLCar">
    <w:name w:val="Dirección HTML Car"/>
    <w:link w:val="Direccin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tulo5Car">
    <w:name w:val="Título 5 Car"/>
    <w:link w:val="Ttu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tulo6Car">
    <w:name w:val="Título 6 Car"/>
    <w:link w:val="Ttu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cabezadoCar">
    <w:name w:val="Encabezado Car"/>
    <w:link w:val="Encabezado"/>
    <w:uiPriority w:val="99"/>
    <w:qFormat/>
    <w:rsid w:val="00D13351"/>
    <w:rPr>
      <w:lang w:val="en-GB" w:eastAsia="de-DE"/>
    </w:rPr>
  </w:style>
  <w:style w:type="character" w:customStyle="1" w:styleId="PiedepginaCar">
    <w:name w:val="Pie de página Car"/>
    <w:link w:val="Piedepgina"/>
    <w:uiPriority w:val="99"/>
    <w:qFormat/>
    <w:rsid w:val="00D13351"/>
    <w:rPr>
      <w:lang w:val="en-GB" w:eastAsia="de-DE"/>
    </w:rPr>
  </w:style>
  <w:style w:type="character" w:customStyle="1" w:styleId="TextodegloboCar">
    <w:name w:val="Texto de globo Car"/>
    <w:link w:val="Textodeglob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DireccinHTML">
    <w:name w:val="HTML Address"/>
    <w:basedOn w:val="Normal"/>
    <w:link w:val="Direccin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56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Microsoft Office User</cp:lastModifiedBy>
  <cp:revision>2</cp:revision>
  <dcterms:created xsi:type="dcterms:W3CDTF">2025-05-14T12:43:00Z</dcterms:created>
  <dcterms:modified xsi:type="dcterms:W3CDTF">2025-05-14T12:43:00Z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