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3B9E" w14:textId="3A653F3E" w:rsidR="00FA3369" w:rsidRPr="00FA3369" w:rsidRDefault="00E53FCF">
      <w:pPr>
        <w:pStyle w:val="2"/>
      </w:pPr>
      <w:r>
        <w:rPr>
          <w:sz w:val="24"/>
          <w:szCs w:val="24"/>
          <w:lang w:val="en-US"/>
        </w:rPr>
        <w:t>I</w:t>
      </w:r>
      <w:proofErr w:type="spellStart"/>
      <w:r w:rsidRPr="00E53FCF">
        <w:rPr>
          <w:sz w:val="24"/>
          <w:szCs w:val="24"/>
        </w:rPr>
        <w:t>nfluence</w:t>
      </w:r>
      <w:proofErr w:type="spellEnd"/>
      <w:r w:rsidRPr="00E53FCF">
        <w:rPr>
          <w:sz w:val="24"/>
          <w:szCs w:val="24"/>
        </w:rPr>
        <w:t xml:space="preserve"> of yttrium on changes in the structure of amorphous</w:t>
      </w:r>
      <w:r w:rsidR="006E7403">
        <w:rPr>
          <w:sz w:val="24"/>
          <w:szCs w:val="24"/>
          <w:lang w:val="uk-UA"/>
        </w:rPr>
        <w:t xml:space="preserve"> </w:t>
      </w:r>
      <w:r w:rsidR="006E7403">
        <w:rPr>
          <w:sz w:val="24"/>
          <w:szCs w:val="24"/>
          <w:lang w:val="en-US"/>
        </w:rPr>
        <w:t>metal</w:t>
      </w:r>
      <w:r w:rsidRPr="00E53FCF">
        <w:rPr>
          <w:sz w:val="24"/>
          <w:szCs w:val="24"/>
        </w:rPr>
        <w:t xml:space="preserve"> alloys of the Al</w:t>
      </w:r>
      <w:r w:rsidRPr="00E53FCF">
        <w:rPr>
          <w:sz w:val="24"/>
          <w:szCs w:val="24"/>
          <w:vertAlign w:val="subscript"/>
        </w:rPr>
        <w:t>87</w:t>
      </w:r>
      <w:r w:rsidRPr="00E53FCF">
        <w:rPr>
          <w:sz w:val="24"/>
          <w:szCs w:val="24"/>
        </w:rPr>
        <w:t>(</w:t>
      </w:r>
      <w:proofErr w:type="spellStart"/>
      <w:proofErr w:type="gramStart"/>
      <w:r w:rsidRPr="00E53FCF">
        <w:rPr>
          <w:sz w:val="24"/>
          <w:szCs w:val="24"/>
        </w:rPr>
        <w:t>Y,Gd</w:t>
      </w:r>
      <w:proofErr w:type="spellEnd"/>
      <w:proofErr w:type="gramEnd"/>
      <w:r w:rsidRPr="00E53FCF">
        <w:rPr>
          <w:sz w:val="24"/>
          <w:szCs w:val="24"/>
        </w:rPr>
        <w:t>)</w:t>
      </w:r>
      <w:r w:rsidRPr="00E53FCF"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(</w:t>
      </w:r>
      <w:proofErr w:type="spellStart"/>
      <w:proofErr w:type="gramStart"/>
      <w:r w:rsidRPr="00E53FCF">
        <w:rPr>
          <w:sz w:val="24"/>
          <w:szCs w:val="24"/>
        </w:rPr>
        <w:t>Ni</w:t>
      </w:r>
      <w:r>
        <w:rPr>
          <w:sz w:val="24"/>
          <w:szCs w:val="24"/>
          <w:vertAlign w:val="subscript"/>
        </w:rPr>
        <w:t>,</w:t>
      </w:r>
      <w:r w:rsidRPr="00E53FCF">
        <w:rPr>
          <w:sz w:val="24"/>
          <w:szCs w:val="24"/>
        </w:rPr>
        <w:t>Fe</w:t>
      </w:r>
      <w:proofErr w:type="spellEnd"/>
      <w:proofErr w:type="gramEnd"/>
      <w:r>
        <w:rPr>
          <w:sz w:val="24"/>
          <w:szCs w:val="24"/>
        </w:rPr>
        <w:t>)</w:t>
      </w:r>
      <w:r w:rsidRPr="00E53FCF">
        <w:rPr>
          <w:sz w:val="24"/>
          <w:szCs w:val="24"/>
          <w:vertAlign w:val="subscript"/>
        </w:rPr>
        <w:t>8</w:t>
      </w:r>
      <w:r>
        <w:rPr>
          <w:sz w:val="24"/>
          <w:szCs w:val="24"/>
          <w:vertAlign w:val="subscript"/>
        </w:rPr>
        <w:t xml:space="preserve"> </w:t>
      </w:r>
      <w:r w:rsidRPr="00E53FCF">
        <w:rPr>
          <w:sz w:val="24"/>
          <w:szCs w:val="24"/>
        </w:rPr>
        <w:t>system due to short-term annealing</w:t>
      </w:r>
      <w:r w:rsidR="00FA3369" w:rsidRPr="00FA3369">
        <w:t xml:space="preserve"> </w:t>
      </w:r>
    </w:p>
    <w:p w14:paraId="764F0C52" w14:textId="4C1A6407" w:rsidR="00506FA6" w:rsidRPr="00A47B7E" w:rsidRDefault="00FA3369">
      <w:pPr>
        <w:pStyle w:val="2"/>
        <w:rPr>
          <w:lang w:val="en-US"/>
        </w:rPr>
      </w:pPr>
      <w:r w:rsidRPr="00FA3369">
        <w:rPr>
          <w:sz w:val="22"/>
          <w:szCs w:val="22"/>
        </w:rPr>
        <w:t>Kh. Khrushchyk</w:t>
      </w:r>
      <w:r w:rsidRPr="00FA3369">
        <w:rPr>
          <w:sz w:val="22"/>
          <w:szCs w:val="22"/>
          <w:vertAlign w:val="superscript"/>
        </w:rPr>
        <w:t>1,2</w:t>
      </w:r>
      <w:r w:rsidRPr="00FA3369">
        <w:rPr>
          <w:sz w:val="22"/>
          <w:szCs w:val="22"/>
        </w:rPr>
        <w:t>,</w:t>
      </w:r>
      <w:r w:rsidR="0089355C">
        <w:rPr>
          <w:sz w:val="22"/>
          <w:szCs w:val="22"/>
        </w:rPr>
        <w:t xml:space="preserve"> P. Swiec</w:t>
      </w:r>
      <w:r w:rsidR="0089355C" w:rsidRPr="0089355C">
        <w:rPr>
          <w:sz w:val="22"/>
          <w:szCs w:val="22"/>
          <w:vertAlign w:val="superscript"/>
        </w:rPr>
        <w:t>2</w:t>
      </w:r>
      <w:r w:rsidR="0089355C">
        <w:rPr>
          <w:sz w:val="22"/>
          <w:szCs w:val="22"/>
        </w:rPr>
        <w:t xml:space="preserve">, Yu. </w:t>
      </w:r>
      <w:r w:rsidR="0089355C" w:rsidRPr="00A47B7E">
        <w:rPr>
          <w:sz w:val="22"/>
          <w:szCs w:val="22"/>
          <w:lang w:val="en-US"/>
        </w:rPr>
        <w:t>Kulyk</w:t>
      </w:r>
      <w:r w:rsidR="0089355C" w:rsidRPr="00A47B7E">
        <w:rPr>
          <w:sz w:val="22"/>
          <w:szCs w:val="22"/>
          <w:vertAlign w:val="superscript"/>
          <w:lang w:val="en-US"/>
        </w:rPr>
        <w:t>1</w:t>
      </w:r>
      <w:r w:rsidR="0089355C" w:rsidRPr="00A47B7E">
        <w:rPr>
          <w:sz w:val="22"/>
          <w:szCs w:val="22"/>
          <w:lang w:val="en-US"/>
        </w:rPr>
        <w:t>,</w:t>
      </w:r>
      <w:r w:rsidRPr="00A47B7E">
        <w:rPr>
          <w:sz w:val="22"/>
          <w:szCs w:val="22"/>
          <w:lang w:val="en-US"/>
        </w:rPr>
        <w:t xml:space="preserve"> M. Karolus</w:t>
      </w:r>
      <w:r w:rsidRPr="00A47B7E">
        <w:rPr>
          <w:sz w:val="22"/>
          <w:szCs w:val="22"/>
          <w:vertAlign w:val="superscript"/>
          <w:lang w:val="en-US"/>
        </w:rPr>
        <w:t>2</w:t>
      </w:r>
      <w:r w:rsidRPr="00A47B7E">
        <w:rPr>
          <w:sz w:val="22"/>
          <w:szCs w:val="22"/>
          <w:lang w:val="en-US"/>
        </w:rPr>
        <w:t>, L. Boichyshyn</w:t>
      </w:r>
      <w:r w:rsidRPr="00A47B7E">
        <w:rPr>
          <w:sz w:val="22"/>
          <w:szCs w:val="22"/>
          <w:vertAlign w:val="superscript"/>
          <w:lang w:val="en-US"/>
        </w:rPr>
        <w:t>1</w:t>
      </w:r>
    </w:p>
    <w:p w14:paraId="22308607" w14:textId="20A68035" w:rsidR="00FA3369" w:rsidRPr="00546193" w:rsidRDefault="00FA3369" w:rsidP="00FA3369">
      <w:pPr>
        <w:rPr>
          <w:i/>
          <w:iCs/>
          <w:lang w:val="en-US"/>
        </w:rPr>
      </w:pPr>
      <w:r w:rsidRPr="00546193">
        <w:rPr>
          <w:i/>
          <w:iCs/>
          <w:vertAlign w:val="superscript"/>
          <w:lang w:val="en-US"/>
        </w:rPr>
        <w:t>1</w:t>
      </w:r>
      <w:r w:rsidRPr="00546193">
        <w:rPr>
          <w:i/>
          <w:iCs/>
          <w:lang w:val="en-US"/>
        </w:rPr>
        <w:t xml:space="preserve">Faculty of Chemistry, Department of Physical and Colloidal Chemistry, Ivan Franko National University of Lviv, 6 </w:t>
      </w:r>
      <w:proofErr w:type="spellStart"/>
      <w:r w:rsidRPr="00546193">
        <w:rPr>
          <w:i/>
          <w:iCs/>
          <w:lang w:val="en-US"/>
        </w:rPr>
        <w:t>Kyryla</w:t>
      </w:r>
      <w:proofErr w:type="spellEnd"/>
      <w:r w:rsidRPr="00546193">
        <w:rPr>
          <w:i/>
          <w:iCs/>
          <w:lang w:val="en-US"/>
        </w:rPr>
        <w:t xml:space="preserve"> and </w:t>
      </w:r>
      <w:proofErr w:type="spellStart"/>
      <w:r w:rsidRPr="00546193">
        <w:rPr>
          <w:i/>
          <w:iCs/>
          <w:lang w:val="en-US"/>
        </w:rPr>
        <w:t>Mefodiia</w:t>
      </w:r>
      <w:proofErr w:type="spellEnd"/>
      <w:r w:rsidRPr="00546193">
        <w:rPr>
          <w:i/>
          <w:iCs/>
          <w:lang w:val="en-US"/>
        </w:rPr>
        <w:t xml:space="preserve"> Str., 79005, Lviv, Ukraine</w:t>
      </w:r>
      <w:r w:rsidR="00174818" w:rsidRPr="00546193">
        <w:rPr>
          <w:i/>
          <w:iCs/>
          <w:lang w:val="en-US"/>
        </w:rPr>
        <w:t>,</w:t>
      </w:r>
      <w:r w:rsidRPr="00546193">
        <w:rPr>
          <w:i/>
          <w:iCs/>
          <w:lang w:val="en-US"/>
        </w:rPr>
        <w:t xml:space="preserve"> </w:t>
      </w:r>
      <w:r w:rsidRPr="00546193">
        <w:rPr>
          <w:i/>
          <w:iCs/>
          <w:vertAlign w:val="superscript"/>
          <w:lang w:val="en-US"/>
        </w:rPr>
        <w:t>2</w:t>
      </w:r>
      <w:r w:rsidRPr="00546193">
        <w:rPr>
          <w:i/>
          <w:iCs/>
          <w:lang w:val="en-US"/>
        </w:rPr>
        <w:t xml:space="preserve">Faculty of Science and Technology, Institute of Materials Engineering, University of Silesia in Katowice, 1A </w:t>
      </w:r>
      <w:proofErr w:type="spellStart"/>
      <w:r w:rsidRPr="00546193">
        <w:rPr>
          <w:i/>
          <w:iCs/>
          <w:lang w:val="en-US"/>
        </w:rPr>
        <w:t>Pulku</w:t>
      </w:r>
      <w:proofErr w:type="spellEnd"/>
      <w:r w:rsidRPr="00546193">
        <w:rPr>
          <w:i/>
          <w:iCs/>
          <w:lang w:val="en-US"/>
        </w:rPr>
        <w:t xml:space="preserve"> </w:t>
      </w:r>
      <w:proofErr w:type="spellStart"/>
      <w:r w:rsidRPr="00546193">
        <w:rPr>
          <w:i/>
          <w:iCs/>
          <w:lang w:val="en-US"/>
        </w:rPr>
        <w:t>Piechoty</w:t>
      </w:r>
      <w:proofErr w:type="spellEnd"/>
      <w:r w:rsidRPr="00546193">
        <w:rPr>
          <w:i/>
          <w:iCs/>
          <w:lang w:val="en-US"/>
        </w:rPr>
        <w:t xml:space="preserve"> Str., 41500, Chorzow, Poland</w:t>
      </w:r>
    </w:p>
    <w:p w14:paraId="68E56A6E" w14:textId="2E912435" w:rsidR="00506FA6" w:rsidRPr="00546193" w:rsidRDefault="00FA3369">
      <w:pPr>
        <w:pStyle w:val="3"/>
        <w:rPr>
          <w:sz w:val="18"/>
          <w:szCs w:val="18"/>
          <w:lang w:val="en-US"/>
        </w:rPr>
      </w:pPr>
      <w:r w:rsidRPr="00546193">
        <w:rPr>
          <w:lang w:val="en-US"/>
        </w:rPr>
        <w:t xml:space="preserve">khrystyna.khrushchyk@us.edu.pl </w:t>
      </w:r>
    </w:p>
    <w:p w14:paraId="11E2C7B8" w14:textId="7ABEFA80" w:rsidR="00546193" w:rsidRDefault="00BC625A" w:rsidP="00546193">
      <w:pPr>
        <w:spacing w:line="276" w:lineRule="auto"/>
        <w:rPr>
          <w:shd w:val="clear" w:color="auto" w:fill="FFFFFF"/>
          <w:lang w:val="en-US"/>
        </w:rPr>
      </w:pPr>
      <w:r w:rsidRPr="00546193">
        <w:rPr>
          <w:shd w:val="clear" w:color="auto" w:fill="FFFFFF"/>
        </w:rPr>
        <w:t>In this work, the influence of rare earths and transition metals on the kinetics of stable crystallisation for the</w:t>
      </w:r>
      <w:r w:rsidR="006E7403" w:rsidRPr="00546193">
        <w:rPr>
          <w:shd w:val="clear" w:color="auto" w:fill="FFFFFF"/>
        </w:rPr>
        <w:t xml:space="preserve"> </w:t>
      </w:r>
      <w:r w:rsidR="006E7403" w:rsidRPr="00546193">
        <w:t>amorphous</w:t>
      </w:r>
      <w:r w:rsidR="006E7403" w:rsidRPr="00546193">
        <w:rPr>
          <w:lang w:val="uk-UA"/>
        </w:rPr>
        <w:t xml:space="preserve"> </w:t>
      </w:r>
      <w:r w:rsidR="006E7403" w:rsidRPr="00546193">
        <w:rPr>
          <w:lang w:val="en-US"/>
        </w:rPr>
        <w:t>metal</w:t>
      </w:r>
      <w:r w:rsidR="006E7403" w:rsidRPr="00546193">
        <w:t xml:space="preserve"> alloys (AMAs)</w:t>
      </w:r>
      <w:r w:rsidRPr="00546193">
        <w:rPr>
          <w:shd w:val="clear" w:color="auto" w:fill="FFFFFF"/>
        </w:rPr>
        <w:t xml:space="preserve"> </w:t>
      </w:r>
      <w:r w:rsidR="00606009" w:rsidRPr="00546193">
        <w:rPr>
          <w:shd w:val="clear" w:color="auto" w:fill="FFFFFF"/>
        </w:rPr>
        <w:t>with the following composition</w:t>
      </w:r>
      <w:r w:rsidR="00EF7807">
        <w:rPr>
          <w:shd w:val="clear" w:color="auto" w:fill="FFFFFF"/>
        </w:rPr>
        <w:t>s</w:t>
      </w:r>
      <w:r w:rsidR="00606009" w:rsidRPr="00546193">
        <w:rPr>
          <w:shd w:val="clear" w:color="auto" w:fill="FFFFFF"/>
        </w:rPr>
        <w:t xml:space="preserve">: </w:t>
      </w:r>
      <w:r w:rsidRPr="00546193">
        <w:t>Al</w:t>
      </w:r>
      <w:r w:rsidRPr="00546193">
        <w:rPr>
          <w:vertAlign w:val="subscript"/>
        </w:rPr>
        <w:t>87</w:t>
      </w:r>
      <w:r w:rsidRPr="00546193">
        <w:t>Gd</w:t>
      </w:r>
      <w:r w:rsidRPr="00546193">
        <w:rPr>
          <w:vertAlign w:val="subscript"/>
          <w:lang w:val="en-US"/>
        </w:rPr>
        <w:t>5</w:t>
      </w:r>
      <w:r w:rsidRPr="00546193">
        <w:t>Ni</w:t>
      </w:r>
      <w:r w:rsidRPr="00546193">
        <w:rPr>
          <w:vertAlign w:val="subscript"/>
          <w:lang w:val="en-US"/>
        </w:rPr>
        <w:t>4</w:t>
      </w:r>
      <w:r w:rsidRPr="00546193">
        <w:rPr>
          <w:lang w:val="en-US"/>
        </w:rPr>
        <w:t>F</w:t>
      </w:r>
      <w:r w:rsidRPr="00546193">
        <w:t>e</w:t>
      </w:r>
      <w:r w:rsidRPr="00546193">
        <w:rPr>
          <w:vertAlign w:val="subscript"/>
        </w:rPr>
        <w:t>4</w:t>
      </w:r>
      <w:r w:rsidRPr="00546193">
        <w:rPr>
          <w:vertAlign w:val="subscript"/>
          <w:lang w:val="en-US"/>
        </w:rPr>
        <w:t xml:space="preserve"> </w:t>
      </w:r>
      <w:r w:rsidRPr="00546193">
        <w:rPr>
          <w:lang w:val="en-US"/>
        </w:rPr>
        <w:t>and</w:t>
      </w:r>
      <w:r w:rsidRPr="00546193">
        <w:rPr>
          <w:b/>
          <w:bCs/>
          <w:lang w:val="en-US"/>
        </w:rPr>
        <w:t xml:space="preserve"> </w:t>
      </w:r>
      <w:r w:rsidRPr="00546193">
        <w:rPr>
          <w:shd w:val="clear" w:color="auto" w:fill="FFFFFF"/>
        </w:rPr>
        <w:t>Al</w:t>
      </w:r>
      <w:r w:rsidRPr="00546193">
        <w:rPr>
          <w:shd w:val="clear" w:color="auto" w:fill="FFFFFF"/>
          <w:vertAlign w:val="subscript"/>
        </w:rPr>
        <w:t>87</w:t>
      </w:r>
      <w:r w:rsidRPr="00546193">
        <w:rPr>
          <w:shd w:val="clear" w:color="auto" w:fill="FFFFFF"/>
        </w:rPr>
        <w:t>Y</w:t>
      </w:r>
      <w:r w:rsidRPr="00546193">
        <w:rPr>
          <w:shd w:val="clear" w:color="auto" w:fill="FFFFFF"/>
          <w:vertAlign w:val="subscript"/>
        </w:rPr>
        <w:t>4</w:t>
      </w:r>
      <w:r w:rsidRPr="00546193">
        <w:rPr>
          <w:shd w:val="clear" w:color="auto" w:fill="FFFFFF"/>
        </w:rPr>
        <w:t>Gd</w:t>
      </w:r>
      <w:r w:rsidRPr="00546193">
        <w:rPr>
          <w:shd w:val="clear" w:color="auto" w:fill="FFFFFF"/>
          <w:vertAlign w:val="subscript"/>
        </w:rPr>
        <w:t>1</w:t>
      </w:r>
      <w:r w:rsidRPr="00546193">
        <w:rPr>
          <w:shd w:val="clear" w:color="auto" w:fill="FFFFFF"/>
        </w:rPr>
        <w:t>Ni</w:t>
      </w:r>
      <w:r w:rsidRPr="00546193">
        <w:rPr>
          <w:shd w:val="clear" w:color="auto" w:fill="FFFFFF"/>
          <w:vertAlign w:val="subscript"/>
        </w:rPr>
        <w:t>4</w:t>
      </w:r>
      <w:r w:rsidRPr="00546193">
        <w:rPr>
          <w:shd w:val="clear" w:color="auto" w:fill="FFFFFF"/>
        </w:rPr>
        <w:t>Fe</w:t>
      </w:r>
      <w:r w:rsidRPr="00546193">
        <w:rPr>
          <w:shd w:val="clear" w:color="auto" w:fill="FFFFFF"/>
          <w:vertAlign w:val="subscript"/>
        </w:rPr>
        <w:t>4</w:t>
      </w:r>
      <w:r w:rsidRPr="00546193">
        <w:rPr>
          <w:shd w:val="clear" w:color="auto" w:fill="FFFFFF"/>
        </w:rPr>
        <w:t xml:space="preserve"> </w:t>
      </w:r>
      <w:r w:rsidRPr="00546193">
        <w:rPr>
          <w:shd w:val="clear" w:color="auto" w:fill="FFFFFF"/>
          <w:lang w:val="en-US"/>
        </w:rPr>
        <w:t>are</w:t>
      </w:r>
      <w:r w:rsidRPr="00546193">
        <w:rPr>
          <w:shd w:val="clear" w:color="auto" w:fill="FFFFFF"/>
        </w:rPr>
        <w:t xml:space="preserve"> shown. Isothermal annealing </w:t>
      </w:r>
      <w:proofErr w:type="gramStart"/>
      <w:r w:rsidRPr="00546193">
        <w:rPr>
          <w:shd w:val="clear" w:color="auto" w:fill="FFFFFF"/>
        </w:rPr>
        <w:t>w</w:t>
      </w:r>
      <w:r w:rsidRPr="00546193">
        <w:rPr>
          <w:shd w:val="clear" w:color="auto" w:fill="FFFFFF"/>
          <w:lang w:val="en-US"/>
        </w:rPr>
        <w:t>ere</w:t>
      </w:r>
      <w:proofErr w:type="gramEnd"/>
      <w:r w:rsidRPr="00546193">
        <w:rPr>
          <w:shd w:val="clear" w:color="auto" w:fill="FFFFFF"/>
        </w:rPr>
        <w:t xml:space="preserve"> performed at certain temperatures</w:t>
      </w:r>
      <w:r w:rsidRPr="00546193">
        <w:rPr>
          <w:shd w:val="clear" w:color="auto" w:fill="FFFFFF"/>
          <w:lang w:val="en-US"/>
        </w:rPr>
        <w:t xml:space="preserve"> with heating rate 20 K/min</w:t>
      </w:r>
      <w:r w:rsidRPr="00546193">
        <w:rPr>
          <w:shd w:val="clear" w:color="auto" w:fill="FFFFFF"/>
        </w:rPr>
        <w:t xml:space="preserve"> determined from the DSC</w:t>
      </w:r>
      <w:r w:rsidR="00460078" w:rsidRPr="00546193">
        <w:rPr>
          <w:shd w:val="clear" w:color="auto" w:fill="FFFFFF"/>
        </w:rPr>
        <w:t xml:space="preserve"> </w:t>
      </w:r>
      <w:r w:rsidRPr="00546193">
        <w:rPr>
          <w:shd w:val="clear" w:color="auto" w:fill="FFFFFF"/>
        </w:rPr>
        <w:t>curves, which are characteristic of stable growth of crystals of the secondary crystallization stage</w:t>
      </w:r>
      <w:r w:rsidR="006E7403" w:rsidRPr="00546193">
        <w:rPr>
          <w:shd w:val="clear" w:color="auto" w:fill="FFFFFF"/>
        </w:rPr>
        <w:t xml:space="preserve"> </w:t>
      </w:r>
      <w:r w:rsidR="00606009" w:rsidRPr="00546193">
        <w:rPr>
          <w:shd w:val="clear" w:color="auto" w:fill="FFFFFF"/>
        </w:rPr>
        <w:t xml:space="preserve">and </w:t>
      </w:r>
      <w:r w:rsidR="00606009" w:rsidRPr="00546193">
        <w:rPr>
          <w:shd w:val="clear" w:color="auto" w:fill="FFFFFF"/>
          <w:lang w:val="en-US"/>
        </w:rPr>
        <w:t xml:space="preserve">equal to </w:t>
      </w:r>
      <w:r w:rsidR="006E7403" w:rsidRPr="00546193">
        <w:rPr>
          <w:shd w:val="clear" w:color="auto" w:fill="FFFFFF"/>
        </w:rPr>
        <w:t>645 and 647 K, respectiv</w:t>
      </w:r>
      <w:r w:rsidR="00606009" w:rsidRPr="00546193">
        <w:rPr>
          <w:shd w:val="clear" w:color="auto" w:fill="FFFFFF"/>
        </w:rPr>
        <w:t>e</w:t>
      </w:r>
      <w:r w:rsidR="006E7403" w:rsidRPr="00546193">
        <w:rPr>
          <w:shd w:val="clear" w:color="auto" w:fill="FFFFFF"/>
        </w:rPr>
        <w:t>ly</w:t>
      </w:r>
      <w:r w:rsidRPr="00546193">
        <w:rPr>
          <w:shd w:val="clear" w:color="auto" w:fill="FFFFFF"/>
        </w:rPr>
        <w:t xml:space="preserve">. X-ray diffraction analysis showed that after 5 minutes of </w:t>
      </w:r>
      <w:r w:rsidR="00606009" w:rsidRPr="00546193">
        <w:rPr>
          <w:shd w:val="clear" w:color="auto" w:fill="FFFFFF"/>
        </w:rPr>
        <w:t xml:space="preserve">isothermal </w:t>
      </w:r>
      <w:r w:rsidRPr="00546193">
        <w:rPr>
          <w:shd w:val="clear" w:color="auto" w:fill="FFFFFF"/>
        </w:rPr>
        <w:t>annealing, nanocrystalline thermally stable phases of Al(X), GdFe</w:t>
      </w:r>
      <w:r w:rsidRPr="00546193">
        <w:rPr>
          <w:shd w:val="clear" w:color="auto" w:fill="FFFFFF"/>
          <w:vertAlign w:val="subscript"/>
        </w:rPr>
        <w:t>2</w:t>
      </w:r>
      <w:r w:rsidRPr="00546193">
        <w:rPr>
          <w:shd w:val="clear" w:color="auto" w:fill="FFFFFF"/>
        </w:rPr>
        <w:t>, AlFe</w:t>
      </w:r>
      <w:r w:rsidRPr="00546193">
        <w:rPr>
          <w:shd w:val="clear" w:color="auto" w:fill="FFFFFF"/>
          <w:vertAlign w:val="subscript"/>
        </w:rPr>
        <w:t>2</w:t>
      </w:r>
      <w:r w:rsidRPr="00546193">
        <w:rPr>
          <w:shd w:val="clear" w:color="auto" w:fill="FFFFFF"/>
        </w:rPr>
        <w:t>Ni were formed, which did not change during the crystallisation process</w:t>
      </w:r>
      <w:r w:rsidRPr="00546193">
        <w:rPr>
          <w:shd w:val="clear" w:color="auto" w:fill="FFFFFF"/>
          <w:lang w:val="en-US"/>
        </w:rPr>
        <w:t xml:space="preserve"> for AMA</w:t>
      </w:r>
      <w:r w:rsidR="0059726C">
        <w:rPr>
          <w:shd w:val="clear" w:color="auto" w:fill="FFFFFF"/>
          <w:lang w:val="en-US"/>
        </w:rPr>
        <w:t>s</w:t>
      </w:r>
      <w:r w:rsidRPr="00546193">
        <w:rPr>
          <w:shd w:val="clear" w:color="auto" w:fill="FFFFFF"/>
          <w:lang w:val="en-US"/>
        </w:rPr>
        <w:t xml:space="preserve"> systems Al</w:t>
      </w:r>
      <w:r w:rsidRPr="00546193">
        <w:rPr>
          <w:shd w:val="clear" w:color="auto" w:fill="FFFFFF"/>
          <w:vertAlign w:val="subscript"/>
          <w:lang w:val="en-US"/>
        </w:rPr>
        <w:t>87</w:t>
      </w:r>
      <w:r w:rsidRPr="00546193">
        <w:rPr>
          <w:shd w:val="clear" w:color="auto" w:fill="FFFFFF"/>
          <w:lang w:val="en-US"/>
        </w:rPr>
        <w:t>(</w:t>
      </w:r>
      <w:proofErr w:type="spellStart"/>
      <w:proofErr w:type="gramStart"/>
      <w:r w:rsidRPr="00546193">
        <w:rPr>
          <w:shd w:val="clear" w:color="auto" w:fill="FFFFFF"/>
          <w:lang w:val="en-US"/>
        </w:rPr>
        <w:t>Y,Gd</w:t>
      </w:r>
      <w:proofErr w:type="spellEnd"/>
      <w:proofErr w:type="gramEnd"/>
      <w:r w:rsidRPr="00546193">
        <w:rPr>
          <w:shd w:val="clear" w:color="auto" w:fill="FFFFFF"/>
          <w:lang w:val="en-US"/>
        </w:rPr>
        <w:t>)</w:t>
      </w:r>
      <w:r w:rsidRPr="00546193">
        <w:rPr>
          <w:shd w:val="clear" w:color="auto" w:fill="FFFFFF"/>
          <w:vertAlign w:val="subscript"/>
          <w:lang w:val="en-US"/>
        </w:rPr>
        <w:t>5</w:t>
      </w:r>
      <w:r w:rsidRPr="00546193">
        <w:rPr>
          <w:shd w:val="clear" w:color="auto" w:fill="FFFFFF"/>
          <w:lang w:val="en-US"/>
        </w:rPr>
        <w:t>(Ni, Fe)</w:t>
      </w:r>
      <w:r w:rsidRPr="00546193">
        <w:rPr>
          <w:shd w:val="clear" w:color="auto" w:fill="FFFFFF"/>
          <w:vertAlign w:val="subscript"/>
          <w:lang w:val="en-US"/>
        </w:rPr>
        <w:t>8</w:t>
      </w:r>
      <w:r w:rsidRPr="00546193">
        <w:rPr>
          <w:shd w:val="clear" w:color="auto" w:fill="FFFFFF"/>
          <w:lang w:val="en-US"/>
        </w:rPr>
        <w:t>.</w:t>
      </w:r>
      <w:r w:rsidRPr="00546193">
        <w:rPr>
          <w:shd w:val="clear" w:color="auto" w:fill="FFFFFF"/>
        </w:rPr>
        <w:t xml:space="preserve"> Changes in the structure and size of the nanocrystals during the crystallisation process were </w:t>
      </w:r>
      <w:r w:rsidR="006E7403" w:rsidRPr="00546193">
        <w:rPr>
          <w:shd w:val="clear" w:color="auto" w:fill="FFFFFF"/>
        </w:rPr>
        <w:t>investigated</w:t>
      </w:r>
      <w:r w:rsidRPr="00546193">
        <w:rPr>
          <w:shd w:val="clear" w:color="auto" w:fill="FFFFFF"/>
        </w:rPr>
        <w:t xml:space="preserve"> by transmission electron microscopy and </w:t>
      </w:r>
      <w:proofErr w:type="gramStart"/>
      <w:r w:rsidRPr="00546193">
        <w:rPr>
          <w:shd w:val="clear" w:color="auto" w:fill="FFFFFF"/>
        </w:rPr>
        <w:t>high resolution</w:t>
      </w:r>
      <w:proofErr w:type="gramEnd"/>
      <w:r w:rsidRPr="00546193">
        <w:rPr>
          <w:shd w:val="clear" w:color="auto" w:fill="FFFFFF"/>
        </w:rPr>
        <w:t xml:space="preserve"> electron microscopy</w:t>
      </w:r>
      <w:r w:rsidRPr="00546193">
        <w:rPr>
          <w:shd w:val="clear" w:color="auto" w:fill="FFFFFF"/>
          <w:lang w:val="en-US"/>
        </w:rPr>
        <w:t xml:space="preserve"> (</w:t>
      </w:r>
      <w:r w:rsidR="00174818" w:rsidRPr="00546193">
        <w:rPr>
          <w:shd w:val="clear" w:color="auto" w:fill="FFFFFF"/>
          <w:lang w:val="en-US"/>
        </w:rPr>
        <w:t>TEM/</w:t>
      </w:r>
      <w:r w:rsidRPr="00546193">
        <w:rPr>
          <w:shd w:val="clear" w:color="auto" w:fill="FFFFFF"/>
          <w:lang w:val="en-US"/>
        </w:rPr>
        <w:t>HREM</w:t>
      </w:r>
      <w:r w:rsidR="00174818" w:rsidRPr="00546193">
        <w:rPr>
          <w:shd w:val="clear" w:color="auto" w:fill="FFFFFF"/>
          <w:lang w:val="en-US"/>
        </w:rPr>
        <w:t>,</w:t>
      </w:r>
      <w:r w:rsidR="00546193" w:rsidRPr="00546193">
        <w:rPr>
          <w:shd w:val="clear" w:color="auto" w:fill="FFFFFF"/>
          <w:lang w:val="en-US"/>
        </w:rPr>
        <w:t xml:space="preserve"> </w:t>
      </w:r>
      <w:proofErr w:type="spellStart"/>
      <w:r w:rsidR="00546193" w:rsidRPr="00546193">
        <w:rPr>
          <w:shd w:val="clear" w:color="auto" w:fill="FFFFFF"/>
          <w:lang w:val="en-US"/>
        </w:rPr>
        <w:t>Jeol</w:t>
      </w:r>
      <w:proofErr w:type="spellEnd"/>
      <w:r w:rsidR="00546193" w:rsidRPr="00546193">
        <w:rPr>
          <w:shd w:val="clear" w:color="auto" w:fill="FFFFFF"/>
          <w:lang w:val="en-US"/>
        </w:rPr>
        <w:t xml:space="preserve"> JEM 3010</w:t>
      </w:r>
      <w:r w:rsidRPr="00546193">
        <w:rPr>
          <w:shd w:val="clear" w:color="auto" w:fill="FFFFFF"/>
          <w:lang w:val="en-US"/>
        </w:rPr>
        <w:t>)</w:t>
      </w:r>
      <w:r w:rsidRPr="00546193">
        <w:rPr>
          <w:shd w:val="clear" w:color="auto" w:fill="FFFFFF"/>
        </w:rPr>
        <w:t xml:space="preserve">. The analysis confirmed that the addition of </w:t>
      </w:r>
      <w:r w:rsidR="00E53FCF" w:rsidRPr="00546193">
        <w:t>yttrium</w:t>
      </w:r>
      <w:r w:rsidR="00E53FCF" w:rsidRPr="00546193">
        <w:rPr>
          <w:shd w:val="clear" w:color="auto" w:fill="FFFFFF"/>
          <w:lang w:val="en-US"/>
        </w:rPr>
        <w:t xml:space="preserve"> </w:t>
      </w:r>
      <w:r w:rsidRPr="00546193">
        <w:rPr>
          <w:shd w:val="clear" w:color="auto" w:fill="FFFFFF"/>
          <w:lang w:val="en-US"/>
        </w:rPr>
        <w:t>significant</w:t>
      </w:r>
      <w:proofErr w:type="spellStart"/>
      <w:r w:rsidRPr="00546193">
        <w:rPr>
          <w:shd w:val="clear" w:color="auto" w:fill="FFFFFF"/>
        </w:rPr>
        <w:t>ly</w:t>
      </w:r>
      <w:proofErr w:type="spellEnd"/>
      <w:r w:rsidRPr="00546193">
        <w:rPr>
          <w:shd w:val="clear" w:color="auto" w:fill="FFFFFF"/>
        </w:rPr>
        <w:t xml:space="preserve"> changes the crystallisation temperature and phase composition of the crystallised alloys.</w:t>
      </w:r>
      <w:r w:rsidR="00E53FCF" w:rsidRPr="00546193">
        <w:t xml:space="preserve"> </w:t>
      </w:r>
      <w:r w:rsidR="00546193">
        <w:rPr>
          <w:shd w:val="clear" w:color="auto" w:fill="FFFFFF"/>
          <w:lang w:val="en-US"/>
        </w:rPr>
        <w:t xml:space="preserve"> </w:t>
      </w:r>
    </w:p>
    <w:p w14:paraId="3F6892F1" w14:textId="09B1925C" w:rsidR="0008081A" w:rsidRPr="00546193" w:rsidRDefault="0008081A" w:rsidP="00546193">
      <w:pPr>
        <w:spacing w:line="276" w:lineRule="auto"/>
        <w:rPr>
          <w:shd w:val="clear" w:color="auto" w:fill="FFFFFF"/>
          <w:lang w:val="en-US"/>
        </w:rPr>
      </w:pPr>
      <w:r w:rsidRPr="00546193">
        <w:rPr>
          <w:shd w:val="clear" w:color="auto" w:fill="FCFCFC"/>
          <w:lang w:eastAsia="pl-PL"/>
        </w:rPr>
        <w:t>The object of the tests were AMAs alloys in the form of ribbons with a thickness and width of 20-25 </w:t>
      </w:r>
      <w:r w:rsidRPr="00546193">
        <w:rPr>
          <w:shd w:val="clear" w:color="auto" w:fill="FCFCFC"/>
          <w:lang w:val="pl-PL" w:eastAsia="pl-PL"/>
        </w:rPr>
        <w:t>μ</w:t>
      </w:r>
      <w:r w:rsidRPr="00546193">
        <w:rPr>
          <w:shd w:val="clear" w:color="auto" w:fill="FCFCFC"/>
          <w:lang w:eastAsia="pl-PL"/>
        </w:rPr>
        <w:t>m and 3 mm, respectively, which were obtained at the</w:t>
      </w:r>
      <w:r w:rsidR="00A47B7E">
        <w:rPr>
          <w:shd w:val="clear" w:color="auto" w:fill="FCFCFC"/>
          <w:lang w:val="uk-UA" w:eastAsia="pl-PL"/>
        </w:rPr>
        <w:t xml:space="preserve"> </w:t>
      </w:r>
      <w:r w:rsidR="00A47B7E">
        <w:rPr>
          <w:shd w:val="clear" w:color="auto" w:fill="FCFCFC"/>
          <w:lang w:val="en-US" w:eastAsia="pl-PL"/>
        </w:rPr>
        <w:t xml:space="preserve">G. V. </w:t>
      </w:r>
      <w:proofErr w:type="spellStart"/>
      <w:r w:rsidR="00A47B7E">
        <w:rPr>
          <w:shd w:val="clear" w:color="auto" w:fill="FCFCFC"/>
          <w:lang w:val="en-US" w:eastAsia="pl-PL"/>
        </w:rPr>
        <w:t>Kurdyumov</w:t>
      </w:r>
      <w:proofErr w:type="spellEnd"/>
      <w:r w:rsidRPr="00546193">
        <w:rPr>
          <w:shd w:val="clear" w:color="auto" w:fill="FCFCFC"/>
          <w:lang w:eastAsia="pl-PL"/>
        </w:rPr>
        <w:t xml:space="preserve"> Institute</w:t>
      </w:r>
      <w:r w:rsidR="00A47B7E">
        <w:rPr>
          <w:shd w:val="clear" w:color="auto" w:fill="FCFCFC"/>
          <w:lang w:eastAsia="pl-PL"/>
        </w:rPr>
        <w:t xml:space="preserve"> for</w:t>
      </w:r>
      <w:r w:rsidRPr="00546193">
        <w:rPr>
          <w:shd w:val="clear" w:color="auto" w:fill="FCFCFC"/>
          <w:lang w:eastAsia="pl-PL"/>
        </w:rPr>
        <w:t xml:space="preserve"> Metal</w:t>
      </w:r>
      <w:r w:rsidR="00A47B7E">
        <w:rPr>
          <w:shd w:val="clear" w:color="auto" w:fill="FCFCFC"/>
          <w:lang w:eastAsia="pl-PL"/>
        </w:rPr>
        <w:t xml:space="preserve"> Physics</w:t>
      </w:r>
      <w:r w:rsidRPr="00546193">
        <w:rPr>
          <w:shd w:val="clear" w:color="auto" w:fill="FCFCFC"/>
          <w:lang w:eastAsia="pl-PL"/>
        </w:rPr>
        <w:t xml:space="preserve"> of the </w:t>
      </w:r>
      <w:r w:rsidR="002610A2">
        <w:rPr>
          <w:shd w:val="clear" w:color="auto" w:fill="FCFCFC"/>
          <w:lang w:eastAsia="pl-PL"/>
        </w:rPr>
        <w:t xml:space="preserve">National </w:t>
      </w:r>
      <w:r w:rsidRPr="00546193">
        <w:rPr>
          <w:shd w:val="clear" w:color="auto" w:fill="FCFCFC"/>
          <w:lang w:eastAsia="pl-PL"/>
        </w:rPr>
        <w:t xml:space="preserve">Academy of Sciences </w:t>
      </w:r>
      <w:r w:rsidR="002610A2">
        <w:rPr>
          <w:shd w:val="clear" w:color="auto" w:fill="FCFCFC"/>
          <w:lang w:eastAsia="pl-PL"/>
        </w:rPr>
        <w:t xml:space="preserve">of Ukraine </w:t>
      </w:r>
      <w:r w:rsidRPr="00546193">
        <w:rPr>
          <w:shd w:val="clear" w:color="auto" w:fill="FCFCFC"/>
          <w:lang w:eastAsia="pl-PL"/>
        </w:rPr>
        <w:t>(Kyiv) by melt spinning method in a helium atmosphere on a copper drum rotating at a speed of ~30 m/s.</w:t>
      </w:r>
      <w:r w:rsidRPr="00546193">
        <w:rPr>
          <w:lang w:val="en" w:eastAsia="uk-UA"/>
        </w:rPr>
        <w:t xml:space="preserve"> </w:t>
      </w:r>
      <w:r w:rsidRPr="00546193">
        <w:rPr>
          <w:lang w:val="en" w:eastAsia="pl-PL"/>
        </w:rPr>
        <w:t>The melt was prepared from pure metals and binary compounds REAl</w:t>
      </w:r>
      <w:r w:rsidRPr="00546193">
        <w:rPr>
          <w:vertAlign w:val="subscript"/>
          <w:lang w:val="en" w:eastAsia="pl-PL"/>
        </w:rPr>
        <w:t>3</w:t>
      </w:r>
      <w:r w:rsidRPr="00546193">
        <w:rPr>
          <w:lang w:val="en" w:eastAsia="pl-PL"/>
        </w:rPr>
        <w:t xml:space="preserve"> (RE = Y, Gd). The purity of the starting metals was as follows: Al (99.999 wt.%), Ni (99.99 wt.%), Y (99.96 wt.%), Gd (99.96 wt.%) and Fe (99.99 wt.  %). </w:t>
      </w:r>
      <w:r w:rsidRPr="00E53FCF">
        <w:rPr>
          <w:rFonts w:ascii="Arial" w:hAnsi="Arial" w:cs="Arial"/>
          <w:lang w:val="en" w:eastAsia="pl-PL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3625"/>
        <w:gridCol w:w="3625"/>
      </w:tblGrid>
      <w:tr w:rsidR="007A08A5" w14:paraId="10BE2BD5" w14:textId="77777777" w:rsidTr="00026EB4">
        <w:tc>
          <w:tcPr>
            <w:tcW w:w="3670" w:type="dxa"/>
          </w:tcPr>
          <w:p w14:paraId="0042D9CF" w14:textId="7BFAD067" w:rsidR="007A08A5" w:rsidRDefault="007401FD" w:rsidP="0008081A">
            <w:pPr>
              <w:rPr>
                <w:rFonts w:ascii="Arial" w:hAnsi="Arial" w:cs="Arial"/>
                <w:lang w:val="en-US" w:eastAsia="ru-RU"/>
              </w:rPr>
            </w:pPr>
            <w:r w:rsidRPr="005A7F8C">
              <w:rPr>
                <w:noProof/>
              </w:rPr>
              <w:drawing>
                <wp:inline distT="0" distB="0" distL="0" distR="0" wp14:anchorId="1628815C" wp14:editId="2AAAF80D">
                  <wp:extent cx="2147570" cy="1614170"/>
                  <wp:effectExtent l="0" t="0" r="0" b="0"/>
                  <wp:docPr id="1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2" t="8565" r="12439" b="4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</w:tcPr>
          <w:p w14:paraId="1FAA9565" w14:textId="220F58E8" w:rsidR="007A08A5" w:rsidRDefault="007401FD" w:rsidP="0008081A">
            <w:pPr>
              <w:rPr>
                <w:rFonts w:ascii="Arial" w:hAnsi="Arial" w:cs="Arial"/>
                <w:lang w:val="en-US" w:eastAsia="ru-RU"/>
              </w:rPr>
            </w:pPr>
            <w:r w:rsidRPr="005A7F8C">
              <w:rPr>
                <w:noProof/>
              </w:rPr>
              <w:drawing>
                <wp:inline distT="0" distB="0" distL="0" distR="0" wp14:anchorId="5FCB11B1" wp14:editId="4EBF7599">
                  <wp:extent cx="2195830" cy="1614170"/>
                  <wp:effectExtent l="0" t="0" r="0" b="0"/>
                  <wp:docPr id="1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7" t="8853" r="12337" b="5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</w:tcPr>
          <w:p w14:paraId="6E320A33" w14:textId="4BD057BF" w:rsidR="007A08A5" w:rsidRDefault="007401FD" w:rsidP="0008081A">
            <w:pPr>
              <w:rPr>
                <w:rFonts w:ascii="Arial" w:hAnsi="Arial" w:cs="Arial"/>
                <w:lang w:val="en-US" w:eastAsia="ru-RU"/>
              </w:rPr>
            </w:pPr>
            <w:r w:rsidRPr="005A7F8C">
              <w:rPr>
                <w:noProof/>
              </w:rPr>
              <w:drawing>
                <wp:inline distT="0" distB="0" distL="0" distR="0" wp14:anchorId="75469B09" wp14:editId="147AF331">
                  <wp:extent cx="2195830" cy="1614170"/>
                  <wp:effectExtent l="0" t="0" r="0" b="0"/>
                  <wp:docPr id="1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" t="8290" r="12234" b="4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D34F7" w14:textId="69C40ABC" w:rsidR="005A7F8C" w:rsidRPr="00546193" w:rsidRDefault="00607814" w:rsidP="00D15578">
      <w:pPr>
        <w:rPr>
          <w:sz w:val="18"/>
          <w:szCs w:val="18"/>
        </w:rPr>
      </w:pPr>
      <w:r w:rsidRPr="007401FD">
        <w:rPr>
          <w:b/>
          <w:bCs/>
          <w:sz w:val="18"/>
          <w:szCs w:val="18"/>
          <w:lang w:val="en"/>
        </w:rPr>
        <w:t>Fig</w:t>
      </w:r>
      <w:r w:rsidR="00546193" w:rsidRPr="007401FD">
        <w:rPr>
          <w:b/>
          <w:bCs/>
          <w:sz w:val="18"/>
          <w:szCs w:val="18"/>
          <w:lang w:val="en"/>
        </w:rPr>
        <w:t>ure</w:t>
      </w:r>
      <w:r w:rsidRPr="007401FD">
        <w:rPr>
          <w:b/>
          <w:bCs/>
          <w:sz w:val="18"/>
          <w:szCs w:val="18"/>
          <w:lang w:val="en"/>
        </w:rPr>
        <w:t xml:space="preserve"> 1.</w:t>
      </w:r>
      <w:r w:rsidRPr="00546193">
        <w:rPr>
          <w:sz w:val="18"/>
          <w:szCs w:val="18"/>
          <w:lang w:val="en"/>
        </w:rPr>
        <w:t xml:space="preserve"> </w:t>
      </w:r>
      <w:r w:rsidR="005A7F8C" w:rsidRPr="005A7F8C">
        <w:rPr>
          <w:sz w:val="18"/>
          <w:szCs w:val="18"/>
          <w:lang w:val="en"/>
        </w:rPr>
        <w:t xml:space="preserve">Profiles of the main </w:t>
      </w:r>
      <w:proofErr w:type="gramStart"/>
      <w:r w:rsidR="005A7F8C" w:rsidRPr="005A7F8C">
        <w:rPr>
          <w:sz w:val="18"/>
          <w:szCs w:val="18"/>
          <w:lang w:val="en"/>
        </w:rPr>
        <w:t>maxima</w:t>
      </w:r>
      <w:proofErr w:type="gramEnd"/>
      <w:r w:rsidR="005A7F8C" w:rsidRPr="005A7F8C">
        <w:rPr>
          <w:sz w:val="18"/>
          <w:szCs w:val="18"/>
          <w:lang w:val="en"/>
        </w:rPr>
        <w:t xml:space="preserve"> of amorphous alloys of the Al</w:t>
      </w:r>
      <w:r w:rsidR="005A7F8C" w:rsidRPr="005A7F8C">
        <w:rPr>
          <w:sz w:val="18"/>
          <w:szCs w:val="18"/>
          <w:vertAlign w:val="subscript"/>
          <w:lang w:val="en"/>
        </w:rPr>
        <w:t>87</w:t>
      </w:r>
      <w:r w:rsidR="005A7F8C" w:rsidRPr="005A7F8C">
        <w:rPr>
          <w:sz w:val="18"/>
          <w:szCs w:val="18"/>
          <w:lang w:val="en"/>
        </w:rPr>
        <w:t>(</w:t>
      </w:r>
      <w:proofErr w:type="spellStart"/>
      <w:proofErr w:type="gramStart"/>
      <w:r w:rsidR="005A7F8C" w:rsidRPr="005A7F8C">
        <w:rPr>
          <w:sz w:val="18"/>
          <w:szCs w:val="18"/>
          <w:lang w:val="en"/>
        </w:rPr>
        <w:t>Y,Gd</w:t>
      </w:r>
      <w:proofErr w:type="spellEnd"/>
      <w:proofErr w:type="gramEnd"/>
      <w:r w:rsidR="005A7F8C" w:rsidRPr="005A7F8C">
        <w:rPr>
          <w:sz w:val="18"/>
          <w:szCs w:val="18"/>
          <w:lang w:val="en"/>
        </w:rPr>
        <w:t>)</w:t>
      </w:r>
      <w:r w:rsidR="005A7F8C" w:rsidRPr="005A7F8C">
        <w:rPr>
          <w:sz w:val="18"/>
          <w:szCs w:val="18"/>
          <w:vertAlign w:val="subscript"/>
          <w:lang w:val="en"/>
        </w:rPr>
        <w:t>5</w:t>
      </w:r>
      <w:r w:rsidR="005A7F8C" w:rsidRPr="005A7F8C">
        <w:rPr>
          <w:sz w:val="18"/>
          <w:szCs w:val="18"/>
          <w:lang w:val="en"/>
        </w:rPr>
        <w:t>(</w:t>
      </w:r>
      <w:proofErr w:type="spellStart"/>
      <w:proofErr w:type="gramStart"/>
      <w:r w:rsidR="005A7F8C" w:rsidRPr="005A7F8C">
        <w:rPr>
          <w:sz w:val="18"/>
          <w:szCs w:val="18"/>
          <w:lang w:val="en"/>
        </w:rPr>
        <w:t>Ni,Fe</w:t>
      </w:r>
      <w:proofErr w:type="spellEnd"/>
      <w:proofErr w:type="gramEnd"/>
      <w:r w:rsidR="005A7F8C" w:rsidRPr="005A7F8C">
        <w:rPr>
          <w:sz w:val="18"/>
          <w:szCs w:val="18"/>
          <w:lang w:val="en"/>
        </w:rPr>
        <w:t>)</w:t>
      </w:r>
      <w:r w:rsidR="005A7F8C" w:rsidRPr="005A7F8C">
        <w:rPr>
          <w:sz w:val="18"/>
          <w:szCs w:val="18"/>
          <w:vertAlign w:val="subscript"/>
          <w:lang w:val="en"/>
        </w:rPr>
        <w:t>8</w:t>
      </w:r>
      <w:r w:rsidR="005A7F8C" w:rsidRPr="005A7F8C">
        <w:rPr>
          <w:sz w:val="18"/>
          <w:szCs w:val="18"/>
          <w:lang w:val="en"/>
        </w:rPr>
        <w:t xml:space="preserve"> system</w:t>
      </w:r>
      <w:r w:rsidR="005A7F8C" w:rsidRPr="00546193">
        <w:rPr>
          <w:sz w:val="18"/>
          <w:szCs w:val="18"/>
          <w:lang w:val="en"/>
        </w:rPr>
        <w:t>: (a) as cast Al</w:t>
      </w:r>
      <w:r w:rsidR="005A7F8C" w:rsidRPr="00546193">
        <w:rPr>
          <w:sz w:val="18"/>
          <w:szCs w:val="18"/>
          <w:vertAlign w:val="subscript"/>
          <w:lang w:val="en"/>
        </w:rPr>
        <w:t>87</w:t>
      </w:r>
      <w:r w:rsidR="005A7F8C" w:rsidRPr="00546193">
        <w:rPr>
          <w:sz w:val="18"/>
          <w:szCs w:val="18"/>
          <w:lang w:val="en"/>
        </w:rPr>
        <w:t>Gd</w:t>
      </w:r>
      <w:r w:rsidR="005A7F8C" w:rsidRPr="00546193">
        <w:rPr>
          <w:sz w:val="18"/>
          <w:szCs w:val="18"/>
          <w:vertAlign w:val="subscript"/>
          <w:lang w:val="en"/>
        </w:rPr>
        <w:t>5</w:t>
      </w:r>
      <w:r w:rsidR="005A7F8C" w:rsidRPr="00546193">
        <w:rPr>
          <w:sz w:val="18"/>
          <w:szCs w:val="18"/>
          <w:lang w:val="en"/>
        </w:rPr>
        <w:t>Ni</w:t>
      </w:r>
      <w:r w:rsidR="005A7F8C" w:rsidRPr="00546193">
        <w:rPr>
          <w:sz w:val="18"/>
          <w:szCs w:val="18"/>
          <w:vertAlign w:val="subscript"/>
          <w:lang w:val="en"/>
        </w:rPr>
        <w:t>4</w:t>
      </w:r>
      <w:r w:rsidR="005A7F8C" w:rsidRPr="00546193">
        <w:rPr>
          <w:sz w:val="18"/>
          <w:szCs w:val="18"/>
          <w:lang w:val="en"/>
        </w:rPr>
        <w:t>Fe</w:t>
      </w:r>
      <w:r w:rsidR="005A7F8C" w:rsidRPr="00546193">
        <w:rPr>
          <w:sz w:val="18"/>
          <w:szCs w:val="18"/>
          <w:vertAlign w:val="subscript"/>
          <w:lang w:val="en"/>
        </w:rPr>
        <w:t>4</w:t>
      </w:r>
      <w:r w:rsidR="005A7F8C" w:rsidRPr="00546193">
        <w:rPr>
          <w:sz w:val="18"/>
          <w:szCs w:val="18"/>
          <w:lang w:val="en"/>
        </w:rPr>
        <w:t>, (b) as cast Al</w:t>
      </w:r>
      <w:r w:rsidR="005A7F8C" w:rsidRPr="00546193">
        <w:rPr>
          <w:sz w:val="18"/>
          <w:szCs w:val="18"/>
          <w:vertAlign w:val="subscript"/>
          <w:lang w:val="en"/>
        </w:rPr>
        <w:t>87</w:t>
      </w:r>
      <w:r w:rsidR="006E7403" w:rsidRPr="00546193">
        <w:rPr>
          <w:sz w:val="18"/>
          <w:szCs w:val="18"/>
          <w:lang w:val="en"/>
        </w:rPr>
        <w:t xml:space="preserve"> Y</w:t>
      </w:r>
      <w:r w:rsidR="006E7403" w:rsidRPr="00546193">
        <w:rPr>
          <w:sz w:val="18"/>
          <w:szCs w:val="18"/>
          <w:vertAlign w:val="subscript"/>
          <w:lang w:val="en"/>
        </w:rPr>
        <w:t>4</w:t>
      </w:r>
      <w:r w:rsidR="005A7F8C" w:rsidRPr="00546193">
        <w:rPr>
          <w:sz w:val="18"/>
          <w:szCs w:val="18"/>
          <w:lang w:val="en"/>
        </w:rPr>
        <w:t>Gd</w:t>
      </w:r>
      <w:r w:rsidR="005A7F8C" w:rsidRPr="00546193">
        <w:rPr>
          <w:sz w:val="18"/>
          <w:szCs w:val="18"/>
          <w:vertAlign w:val="subscript"/>
          <w:lang w:val="en"/>
        </w:rPr>
        <w:t>1</w:t>
      </w:r>
      <w:r w:rsidR="005A7F8C" w:rsidRPr="00546193">
        <w:rPr>
          <w:sz w:val="18"/>
          <w:szCs w:val="18"/>
          <w:lang w:val="en"/>
        </w:rPr>
        <w:t>Ni</w:t>
      </w:r>
      <w:r w:rsidR="005A7F8C" w:rsidRPr="00546193">
        <w:rPr>
          <w:sz w:val="18"/>
          <w:szCs w:val="18"/>
          <w:vertAlign w:val="subscript"/>
          <w:lang w:val="en"/>
        </w:rPr>
        <w:t>4</w:t>
      </w:r>
      <w:r w:rsidR="005A7F8C" w:rsidRPr="00546193">
        <w:rPr>
          <w:sz w:val="18"/>
          <w:szCs w:val="18"/>
          <w:lang w:val="en"/>
        </w:rPr>
        <w:t>Fe</w:t>
      </w:r>
      <w:r w:rsidR="005A7F8C" w:rsidRPr="00546193">
        <w:rPr>
          <w:sz w:val="18"/>
          <w:szCs w:val="18"/>
          <w:vertAlign w:val="subscript"/>
          <w:lang w:val="en"/>
        </w:rPr>
        <w:t>4</w:t>
      </w:r>
      <w:r w:rsidR="005A7F8C" w:rsidRPr="00546193">
        <w:rPr>
          <w:sz w:val="18"/>
          <w:szCs w:val="18"/>
          <w:lang w:val="en"/>
        </w:rPr>
        <w:t>, (c) isothermally annealed for 5 min at T=645 K</w:t>
      </w:r>
      <w:r w:rsidR="005A7F8C" w:rsidRPr="00546193">
        <w:rPr>
          <w:sz w:val="18"/>
          <w:szCs w:val="18"/>
          <w:lang w:val="uk-UA"/>
        </w:rPr>
        <w:t xml:space="preserve"> </w:t>
      </w:r>
      <w:r w:rsidR="005A7F8C" w:rsidRPr="00546193">
        <w:rPr>
          <w:sz w:val="18"/>
          <w:szCs w:val="18"/>
          <w:lang w:val="en"/>
        </w:rPr>
        <w:t>Al</w:t>
      </w:r>
      <w:r w:rsidR="005A7F8C" w:rsidRPr="00546193">
        <w:rPr>
          <w:sz w:val="18"/>
          <w:szCs w:val="18"/>
          <w:vertAlign w:val="subscript"/>
          <w:lang w:val="en"/>
        </w:rPr>
        <w:t>87</w:t>
      </w:r>
      <w:r w:rsidR="005A7F8C" w:rsidRPr="00546193">
        <w:rPr>
          <w:sz w:val="18"/>
          <w:szCs w:val="18"/>
          <w:lang w:val="en"/>
        </w:rPr>
        <w:t>Gd</w:t>
      </w:r>
      <w:r w:rsidR="005A7F8C" w:rsidRPr="00546193">
        <w:rPr>
          <w:sz w:val="18"/>
          <w:szCs w:val="18"/>
          <w:vertAlign w:val="subscript"/>
          <w:lang w:val="en"/>
        </w:rPr>
        <w:t>5</w:t>
      </w:r>
      <w:r w:rsidR="005A7F8C" w:rsidRPr="00546193">
        <w:rPr>
          <w:sz w:val="18"/>
          <w:szCs w:val="18"/>
          <w:lang w:val="en"/>
        </w:rPr>
        <w:t>Ni</w:t>
      </w:r>
      <w:r w:rsidR="005A7F8C" w:rsidRPr="00546193">
        <w:rPr>
          <w:sz w:val="18"/>
          <w:szCs w:val="18"/>
          <w:vertAlign w:val="subscript"/>
          <w:lang w:val="en"/>
        </w:rPr>
        <w:t>4</w:t>
      </w:r>
      <w:r w:rsidR="005A7F8C" w:rsidRPr="00546193">
        <w:rPr>
          <w:sz w:val="18"/>
          <w:szCs w:val="18"/>
          <w:lang w:val="en"/>
        </w:rPr>
        <w:t>Fe</w:t>
      </w:r>
      <w:r w:rsidR="005A7F8C" w:rsidRPr="00546193">
        <w:rPr>
          <w:sz w:val="18"/>
          <w:szCs w:val="18"/>
          <w:vertAlign w:val="subscript"/>
          <w:lang w:val="en"/>
        </w:rPr>
        <w:t>4</w:t>
      </w:r>
    </w:p>
    <w:p w14:paraId="3256BF21" w14:textId="0259A2C9" w:rsidR="00026EB4" w:rsidRPr="00301BC7" w:rsidRDefault="00026EB4" w:rsidP="0008081A">
      <w:pPr>
        <w:rPr>
          <w:lang w:val="uk-UA"/>
        </w:rPr>
      </w:pP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main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maximum</w:t>
      </w:r>
      <w:proofErr w:type="spellEnd"/>
      <w:r w:rsidRPr="00301BC7">
        <w:rPr>
          <w:lang w:val="uk-UA"/>
        </w:rPr>
        <w:t xml:space="preserve"> </w:t>
      </w:r>
      <w:r w:rsidR="00AE6ECD" w:rsidRPr="00301BC7">
        <w:rPr>
          <w:lang w:val="en-US"/>
        </w:rPr>
        <w:t xml:space="preserve">of AMA </w:t>
      </w:r>
      <w:r w:rsidR="00AE6ECD" w:rsidRPr="00301BC7">
        <w:rPr>
          <w:lang w:val="en"/>
        </w:rPr>
        <w:t>Al</w:t>
      </w:r>
      <w:r w:rsidR="00AE6ECD" w:rsidRPr="00301BC7">
        <w:rPr>
          <w:vertAlign w:val="subscript"/>
          <w:lang w:val="en"/>
        </w:rPr>
        <w:t>87</w:t>
      </w:r>
      <w:r w:rsidR="00AE6ECD" w:rsidRPr="00301BC7">
        <w:rPr>
          <w:lang w:val="en"/>
        </w:rPr>
        <w:t>Gd</w:t>
      </w:r>
      <w:r w:rsidR="00AE6ECD" w:rsidRPr="00301BC7">
        <w:rPr>
          <w:vertAlign w:val="subscript"/>
          <w:lang w:val="en"/>
        </w:rPr>
        <w:t>5</w:t>
      </w:r>
      <w:r w:rsidR="00AE6ECD" w:rsidRPr="00301BC7">
        <w:rPr>
          <w:lang w:val="en"/>
        </w:rPr>
        <w:t>Ni</w:t>
      </w:r>
      <w:r w:rsidR="00AE6ECD" w:rsidRPr="00301BC7">
        <w:rPr>
          <w:vertAlign w:val="subscript"/>
          <w:lang w:val="en"/>
        </w:rPr>
        <w:t>4</w:t>
      </w:r>
      <w:r w:rsidR="00AE6ECD" w:rsidRPr="00301BC7">
        <w:rPr>
          <w:lang w:val="en"/>
        </w:rPr>
        <w:t>Fe</w:t>
      </w:r>
      <w:r w:rsidR="00AE6ECD" w:rsidRPr="00301BC7">
        <w:rPr>
          <w:vertAlign w:val="subscript"/>
          <w:lang w:val="en"/>
        </w:rPr>
        <w:t>4</w:t>
      </w:r>
      <w:r w:rsidR="00AE6ECD" w:rsidRPr="00301BC7">
        <w:rPr>
          <w:lang w:val="en-US"/>
        </w:rPr>
        <w:t xml:space="preserve"> </w:t>
      </w:r>
      <w:proofErr w:type="spellStart"/>
      <w:r w:rsidRPr="00301BC7">
        <w:rPr>
          <w:lang w:val="uk-UA"/>
        </w:rPr>
        <w:t>of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intensity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curve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has</w:t>
      </w:r>
      <w:proofErr w:type="spellEnd"/>
      <w:r w:rsidRPr="00301BC7">
        <w:rPr>
          <w:lang w:val="uk-UA"/>
        </w:rPr>
        <w:t xml:space="preserve"> a </w:t>
      </w:r>
      <w:proofErr w:type="spellStart"/>
      <w:r w:rsidRPr="00301BC7">
        <w:rPr>
          <w:lang w:val="uk-UA"/>
        </w:rPr>
        <w:t>symmetrical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shape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and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can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be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approximated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by</w:t>
      </w:r>
      <w:proofErr w:type="spellEnd"/>
      <w:r w:rsidRPr="00301BC7">
        <w:rPr>
          <w:lang w:val="uk-UA"/>
        </w:rPr>
        <w:t xml:space="preserve"> a </w:t>
      </w:r>
      <w:proofErr w:type="spellStart"/>
      <w:r w:rsidRPr="00301BC7">
        <w:rPr>
          <w:lang w:val="uk-UA"/>
        </w:rPr>
        <w:t>single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Lorentz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function</w:t>
      </w:r>
      <w:proofErr w:type="spellEnd"/>
      <w:r w:rsidRPr="00301BC7">
        <w:rPr>
          <w:lang w:val="uk-UA"/>
        </w:rPr>
        <w:t xml:space="preserve"> (</w:t>
      </w:r>
      <w:proofErr w:type="spellStart"/>
      <w:r w:rsidRPr="00301BC7">
        <w:rPr>
          <w:lang w:val="uk-UA"/>
        </w:rPr>
        <w:t>Fig</w:t>
      </w:r>
      <w:proofErr w:type="spellEnd"/>
      <w:r w:rsidRPr="00301BC7">
        <w:rPr>
          <w:lang w:val="uk-UA"/>
        </w:rPr>
        <w:t xml:space="preserve">. 1a), </w:t>
      </w:r>
      <w:proofErr w:type="spellStart"/>
      <w:r w:rsidRPr="00301BC7">
        <w:rPr>
          <w:lang w:val="uk-UA"/>
        </w:rPr>
        <w:t>which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shows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profile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of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main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maximum</w:t>
      </w:r>
      <w:proofErr w:type="spellEnd"/>
      <w:r w:rsidRPr="00301BC7">
        <w:rPr>
          <w:lang w:val="uk-UA"/>
        </w:rPr>
        <w:t xml:space="preserve">.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average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interatomic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distance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in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amorphous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alloy</w:t>
      </w:r>
      <w:proofErr w:type="spellEnd"/>
      <w:r w:rsidRPr="00301BC7">
        <w:rPr>
          <w:lang w:val="uk-UA"/>
        </w:rPr>
        <w:t xml:space="preserve"> </w:t>
      </w:r>
      <w:r w:rsidR="0089355C" w:rsidRPr="00301BC7">
        <w:rPr>
          <w:lang w:val="en-US"/>
        </w:rPr>
        <w:t>equ</w:t>
      </w:r>
      <w:r w:rsidR="00EF7807">
        <w:rPr>
          <w:lang w:val="en-US"/>
        </w:rPr>
        <w:t>a</w:t>
      </w:r>
      <w:r w:rsidR="0089355C" w:rsidRPr="00301BC7">
        <w:rPr>
          <w:lang w:val="en-US"/>
        </w:rPr>
        <w:t>l to</w:t>
      </w:r>
      <w:r w:rsidRPr="00301BC7">
        <w:rPr>
          <w:lang w:val="uk-UA"/>
        </w:rPr>
        <w:t xml:space="preserve"> 2.91 Å, </w:t>
      </w:r>
      <w:proofErr w:type="spellStart"/>
      <w:r w:rsidRPr="00301BC7">
        <w:rPr>
          <w:lang w:val="uk-UA"/>
        </w:rPr>
        <w:t>and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size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of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coherent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scattering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regions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is</w:t>
      </w:r>
      <w:proofErr w:type="spellEnd"/>
      <w:r w:rsidRPr="00301BC7">
        <w:rPr>
          <w:lang w:val="uk-UA"/>
        </w:rPr>
        <w:t xml:space="preserve"> L≈14 Å. </w:t>
      </w:r>
      <w:proofErr w:type="spellStart"/>
      <w:r w:rsidRPr="00301BC7">
        <w:rPr>
          <w:lang w:val="uk-UA"/>
        </w:rPr>
        <w:t>Thus</w:t>
      </w:r>
      <w:proofErr w:type="spellEnd"/>
      <w:r w:rsidRPr="00301BC7">
        <w:rPr>
          <w:lang w:val="uk-UA"/>
        </w:rPr>
        <w:t xml:space="preserve">, </w:t>
      </w:r>
      <w:proofErr w:type="spellStart"/>
      <w:r w:rsidRPr="00301BC7">
        <w:rPr>
          <w:lang w:val="uk-UA"/>
        </w:rPr>
        <w:t>it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can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be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concluded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that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replacement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of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yttrium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atoms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with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gadolinium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atoms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in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amorphous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alloy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significantly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reduces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the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degree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of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structural</w:t>
      </w:r>
      <w:proofErr w:type="spellEnd"/>
      <w:r w:rsidRPr="00301BC7">
        <w:rPr>
          <w:lang w:val="uk-UA"/>
        </w:rPr>
        <w:t xml:space="preserve"> </w:t>
      </w:r>
      <w:proofErr w:type="spellStart"/>
      <w:r w:rsidRPr="00301BC7">
        <w:rPr>
          <w:lang w:val="uk-UA"/>
        </w:rPr>
        <w:t>microhomogeneity</w:t>
      </w:r>
      <w:proofErr w:type="spellEnd"/>
      <w:r w:rsidRPr="00301BC7">
        <w:rPr>
          <w:lang w:val="uk-UA"/>
        </w:rPr>
        <w:t>.</w:t>
      </w:r>
    </w:p>
    <w:p w14:paraId="62CAE699" w14:textId="4B932B23" w:rsidR="0089355C" w:rsidRPr="00301BC7" w:rsidRDefault="0089355C" w:rsidP="0089355C">
      <w:pPr>
        <w:spacing w:after="0"/>
        <w:rPr>
          <w:lang w:val="en-US"/>
        </w:rPr>
      </w:pPr>
      <w:r w:rsidRPr="00301BC7">
        <w:rPr>
          <w:lang w:val="en-US"/>
        </w:rPr>
        <w:t>In Fig. 1b, the main maximum</w:t>
      </w:r>
      <w:r w:rsidR="00AE6ECD" w:rsidRPr="00301BC7">
        <w:rPr>
          <w:lang w:val="en-US"/>
        </w:rPr>
        <w:t xml:space="preserve"> of AMA </w:t>
      </w:r>
      <w:r w:rsidR="00AE6ECD" w:rsidRPr="00301BC7">
        <w:rPr>
          <w:lang w:val="en"/>
        </w:rPr>
        <w:t>Al</w:t>
      </w:r>
      <w:r w:rsidR="00AE6ECD" w:rsidRPr="00301BC7">
        <w:rPr>
          <w:vertAlign w:val="subscript"/>
          <w:lang w:val="en"/>
        </w:rPr>
        <w:t>87</w:t>
      </w:r>
      <w:r w:rsidR="00AE6ECD" w:rsidRPr="00301BC7">
        <w:rPr>
          <w:lang w:val="en"/>
        </w:rPr>
        <w:t>Y</w:t>
      </w:r>
      <w:r w:rsidR="00AE6ECD" w:rsidRPr="00301BC7">
        <w:rPr>
          <w:vertAlign w:val="subscript"/>
          <w:lang w:val="en"/>
        </w:rPr>
        <w:t>4</w:t>
      </w:r>
      <w:r w:rsidR="00AE6ECD" w:rsidRPr="00301BC7">
        <w:rPr>
          <w:lang w:val="en"/>
        </w:rPr>
        <w:t>Gd</w:t>
      </w:r>
      <w:r w:rsidR="00AE6ECD" w:rsidRPr="00301BC7">
        <w:rPr>
          <w:vertAlign w:val="subscript"/>
          <w:lang w:val="en"/>
        </w:rPr>
        <w:t>1</w:t>
      </w:r>
      <w:r w:rsidR="00AE6ECD" w:rsidRPr="00301BC7">
        <w:rPr>
          <w:lang w:val="en"/>
        </w:rPr>
        <w:t>Ni</w:t>
      </w:r>
      <w:r w:rsidR="00AE6ECD" w:rsidRPr="00301BC7">
        <w:rPr>
          <w:vertAlign w:val="subscript"/>
          <w:lang w:val="en"/>
        </w:rPr>
        <w:t>4</w:t>
      </w:r>
      <w:r w:rsidR="00AE6ECD" w:rsidRPr="00301BC7">
        <w:rPr>
          <w:lang w:val="en"/>
        </w:rPr>
        <w:t>Fe</w:t>
      </w:r>
      <w:r w:rsidR="00AE6ECD" w:rsidRPr="00301BC7">
        <w:rPr>
          <w:vertAlign w:val="subscript"/>
          <w:lang w:val="en"/>
        </w:rPr>
        <w:t>4</w:t>
      </w:r>
      <w:r w:rsidR="00AE6ECD" w:rsidRPr="00301BC7">
        <w:rPr>
          <w:lang w:val="en-US"/>
        </w:rPr>
        <w:t xml:space="preserve"> </w:t>
      </w:r>
      <w:r w:rsidRPr="00301BC7">
        <w:rPr>
          <w:lang w:val="en-US"/>
        </w:rPr>
        <w:t xml:space="preserve">is presented as a superposition of two </w:t>
      </w:r>
      <w:proofErr w:type="spellStart"/>
      <w:r w:rsidRPr="00301BC7">
        <w:rPr>
          <w:lang w:val="en-US"/>
        </w:rPr>
        <w:t>submaxima</w:t>
      </w:r>
      <w:proofErr w:type="spellEnd"/>
      <w:r w:rsidRPr="00301BC7">
        <w:rPr>
          <w:lang w:val="en-US"/>
        </w:rPr>
        <w:t>, indicating the formation of a mixture of two amorphous phases of different chemical composition and type of short-range atomic order in the initial amorphous alloy. The average interatomic distance in the amorphous phase (AP)</w:t>
      </w:r>
      <w:r w:rsidRPr="00301BC7">
        <w:rPr>
          <w:vertAlign w:val="subscript"/>
          <w:lang w:val="en-US"/>
        </w:rPr>
        <w:t>1</w:t>
      </w:r>
      <w:r w:rsidRPr="00301BC7">
        <w:rPr>
          <w:lang w:val="en-US"/>
        </w:rPr>
        <w:t xml:space="preserve"> is equal to</w:t>
      </w:r>
      <w:r w:rsidR="00607814" w:rsidRPr="00301BC7">
        <w:rPr>
          <w:lang w:val="en-US"/>
        </w:rPr>
        <w:t xml:space="preserve"> R</w:t>
      </w:r>
      <w:r w:rsidR="00607814" w:rsidRPr="00301BC7">
        <w:rPr>
          <w:vertAlign w:val="subscript"/>
          <w:lang w:val="en-US"/>
        </w:rPr>
        <w:t>1</w:t>
      </w:r>
      <w:r w:rsidR="00607814" w:rsidRPr="00301BC7">
        <w:rPr>
          <w:lang w:val="en-US"/>
        </w:rPr>
        <w:t xml:space="preserve"> = 2.91</w:t>
      </w:r>
      <w:r w:rsidRPr="00301BC7">
        <w:rPr>
          <w:lang w:val="en-US"/>
        </w:rPr>
        <w:t xml:space="preserve"> Å, which exceeds the sum of the atomic radii of Al (2R</w:t>
      </w:r>
      <w:r w:rsidRPr="00301BC7">
        <w:rPr>
          <w:vertAlign w:val="subscript"/>
          <w:lang w:val="en-US"/>
        </w:rPr>
        <w:t>Al</w:t>
      </w:r>
      <w:r w:rsidRPr="00301BC7">
        <w:rPr>
          <w:lang w:val="en-US"/>
        </w:rPr>
        <w:t>=2.86 Å), indicating the enrichment of the amorphous phase (A</w:t>
      </w:r>
      <w:r w:rsidR="00607814" w:rsidRPr="00301BC7">
        <w:rPr>
          <w:lang w:val="en-US"/>
        </w:rPr>
        <w:t>P</w:t>
      </w:r>
      <w:r w:rsidRPr="00301BC7">
        <w:rPr>
          <w:lang w:val="en-US"/>
        </w:rPr>
        <w:t>)</w:t>
      </w:r>
      <w:r w:rsidRPr="00301BC7">
        <w:rPr>
          <w:vertAlign w:val="subscript"/>
          <w:lang w:val="en-US"/>
        </w:rPr>
        <w:t>1</w:t>
      </w:r>
      <w:r w:rsidRPr="00301BC7">
        <w:rPr>
          <w:lang w:val="en-US"/>
        </w:rPr>
        <w:t xml:space="preserve"> with atoms of rare earth elements (Y, Gd). The volume fraction of the phase in the amorphous Al</w:t>
      </w:r>
      <w:r w:rsidRPr="00301BC7">
        <w:rPr>
          <w:vertAlign w:val="subscript"/>
          <w:lang w:val="en-US"/>
        </w:rPr>
        <w:t>87</w:t>
      </w:r>
      <w:r w:rsidR="007401FD" w:rsidRPr="00301BC7">
        <w:rPr>
          <w:lang w:val="en-US"/>
        </w:rPr>
        <w:t>Y</w:t>
      </w:r>
      <w:r w:rsidR="007401FD" w:rsidRPr="00301BC7">
        <w:rPr>
          <w:vertAlign w:val="subscript"/>
          <w:lang w:val="en-US"/>
        </w:rPr>
        <w:t>4</w:t>
      </w:r>
      <w:r w:rsidR="007401FD" w:rsidRPr="00301BC7">
        <w:rPr>
          <w:lang w:val="en-US"/>
        </w:rPr>
        <w:t>Gd</w:t>
      </w:r>
      <w:r w:rsidR="007401FD" w:rsidRPr="00301BC7">
        <w:rPr>
          <w:vertAlign w:val="subscript"/>
          <w:lang w:val="en-US"/>
        </w:rPr>
        <w:t>1</w:t>
      </w:r>
      <w:r w:rsidRPr="00301BC7">
        <w:rPr>
          <w:lang w:val="en-US"/>
        </w:rPr>
        <w:t>Ni</w:t>
      </w:r>
      <w:r w:rsidRPr="00301BC7">
        <w:rPr>
          <w:vertAlign w:val="subscript"/>
          <w:lang w:val="en-US"/>
        </w:rPr>
        <w:t>4</w:t>
      </w:r>
      <w:r w:rsidRPr="00301BC7">
        <w:rPr>
          <w:lang w:val="en-US"/>
        </w:rPr>
        <w:t>Fe</w:t>
      </w:r>
      <w:r w:rsidRPr="00301BC7">
        <w:rPr>
          <w:vertAlign w:val="subscript"/>
          <w:lang w:val="en-US"/>
        </w:rPr>
        <w:t>4</w:t>
      </w:r>
      <w:r w:rsidRPr="00301BC7">
        <w:rPr>
          <w:lang w:val="en-US"/>
        </w:rPr>
        <w:t xml:space="preserve"> alloy, determined by the ratio of the integrated intensities of the </w:t>
      </w:r>
      <w:proofErr w:type="spellStart"/>
      <w:r w:rsidRPr="00301BC7">
        <w:rPr>
          <w:lang w:val="en-US"/>
        </w:rPr>
        <w:t>submaxima</w:t>
      </w:r>
      <w:proofErr w:type="spellEnd"/>
      <w:r w:rsidRPr="00301BC7">
        <w:rPr>
          <w:lang w:val="en-US"/>
        </w:rPr>
        <w:t>, reaches almost 80%. However, a significantly smaller value of the interatomic distance (</w:t>
      </w:r>
      <w:r w:rsidR="00607814" w:rsidRPr="00301BC7">
        <w:rPr>
          <w:lang w:val="en-US"/>
        </w:rPr>
        <w:t>R</w:t>
      </w:r>
      <w:r w:rsidR="00607814" w:rsidRPr="00301BC7">
        <w:rPr>
          <w:vertAlign w:val="subscript"/>
          <w:lang w:val="en-US"/>
        </w:rPr>
        <w:t>1</w:t>
      </w:r>
      <w:r w:rsidR="00607814" w:rsidRPr="00301BC7">
        <w:rPr>
          <w:lang w:val="en-US"/>
        </w:rPr>
        <w:t xml:space="preserve">= 2.55 </w:t>
      </w:r>
      <w:r w:rsidRPr="00301BC7">
        <w:rPr>
          <w:lang w:val="en-US"/>
        </w:rPr>
        <w:t>Å) is observed in the amorphous phase (AP)</w:t>
      </w:r>
      <w:r w:rsidRPr="00301BC7">
        <w:rPr>
          <w:vertAlign w:val="subscript"/>
          <w:lang w:val="en-US"/>
        </w:rPr>
        <w:t>2</w:t>
      </w:r>
      <w:r w:rsidRPr="00301BC7">
        <w:rPr>
          <w:lang w:val="en-US"/>
        </w:rPr>
        <w:t>.</w:t>
      </w:r>
    </w:p>
    <w:p w14:paraId="1CFD59FF" w14:textId="2AA65FF0" w:rsidR="0089355C" w:rsidRPr="00301BC7" w:rsidRDefault="00607814" w:rsidP="0089355C">
      <w:pPr>
        <w:spacing w:after="0"/>
        <w:rPr>
          <w:lang w:val="en-US"/>
        </w:rPr>
      </w:pPr>
      <w:r w:rsidRPr="00301BC7">
        <w:rPr>
          <w:lang w:val="en-US"/>
        </w:rPr>
        <w:t>In addition, the value of R</w:t>
      </w:r>
      <w:r w:rsidRPr="00301BC7">
        <w:rPr>
          <w:vertAlign w:val="subscript"/>
          <w:lang w:val="en-US"/>
        </w:rPr>
        <w:t>1</w:t>
      </w:r>
      <w:r w:rsidRPr="00301BC7">
        <w:rPr>
          <w:lang w:val="en-US"/>
        </w:rPr>
        <w:t xml:space="preserve"> is less than the sum of the atomic radii of Al and </w:t>
      </w:r>
      <w:proofErr w:type="gramStart"/>
      <w:r w:rsidRPr="00301BC7">
        <w:rPr>
          <w:lang w:val="en-US"/>
        </w:rPr>
        <w:t>Ni(</w:t>
      </w:r>
      <w:proofErr w:type="gramEnd"/>
      <w:r w:rsidRPr="00301BC7">
        <w:rPr>
          <w:lang w:val="en-US"/>
        </w:rPr>
        <w:t>Fe) (</w:t>
      </w:r>
      <w:proofErr w:type="spellStart"/>
      <w:r w:rsidRPr="00301BC7">
        <w:rPr>
          <w:lang w:val="en-US"/>
        </w:rPr>
        <w:t>R</w:t>
      </w:r>
      <w:r w:rsidRPr="00301BC7">
        <w:rPr>
          <w:vertAlign w:val="subscript"/>
          <w:lang w:val="en-US"/>
        </w:rPr>
        <w:t>Al</w:t>
      </w:r>
      <w:proofErr w:type="spellEnd"/>
      <w:r w:rsidRPr="00301BC7">
        <w:rPr>
          <w:vertAlign w:val="subscript"/>
          <w:lang w:val="en-US"/>
        </w:rPr>
        <w:t xml:space="preserve">-Ni </w:t>
      </w:r>
      <w:r w:rsidRPr="00301BC7">
        <w:rPr>
          <w:lang w:val="en-US"/>
        </w:rPr>
        <w:t>= 2.68 Å), indicating the formation of microregions with strong chemical interaction between Al atoms and transition elements (Ni, Fe).</w:t>
      </w:r>
    </w:p>
    <w:p w14:paraId="4EE0311E" w14:textId="77777777" w:rsidR="0008081A" w:rsidRPr="00A47B7E" w:rsidRDefault="0008081A">
      <w:pPr>
        <w:rPr>
          <w:lang w:val="en-US"/>
        </w:rPr>
      </w:pPr>
    </w:p>
    <w:sectPr w:rsidR="0008081A" w:rsidRPr="00A47B7E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3DC7" w14:textId="77777777" w:rsidR="00936DC9" w:rsidRDefault="00936DC9">
      <w:pPr>
        <w:spacing w:after="0"/>
      </w:pPr>
      <w:r>
        <w:separator/>
      </w:r>
    </w:p>
  </w:endnote>
  <w:endnote w:type="continuationSeparator" w:id="0">
    <w:p w14:paraId="500FFF92" w14:textId="77777777" w:rsidR="00936DC9" w:rsidRDefault="00936D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7749" w14:textId="77777777" w:rsidR="00506FA6" w:rsidRDefault="00000000">
    <w:pPr>
      <w:pStyle w:val="a6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72B70116" w14:textId="77777777" w:rsidR="00506FA6" w:rsidRDefault="00506FA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9247" w14:textId="77777777" w:rsidR="00936DC9" w:rsidRDefault="00936DC9">
      <w:pPr>
        <w:spacing w:after="0"/>
      </w:pPr>
      <w:r>
        <w:separator/>
      </w:r>
    </w:p>
  </w:footnote>
  <w:footnote w:type="continuationSeparator" w:id="0">
    <w:p w14:paraId="6660ED7F" w14:textId="77777777" w:rsidR="00936DC9" w:rsidRDefault="00936D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DD05" w14:textId="77777777" w:rsidR="00506FA6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A6"/>
    <w:rsid w:val="00026EB4"/>
    <w:rsid w:val="0008081A"/>
    <w:rsid w:val="000D4602"/>
    <w:rsid w:val="00115369"/>
    <w:rsid w:val="00174818"/>
    <w:rsid w:val="001E151C"/>
    <w:rsid w:val="002610A2"/>
    <w:rsid w:val="00301BC7"/>
    <w:rsid w:val="00392464"/>
    <w:rsid w:val="003C1473"/>
    <w:rsid w:val="003F4FF1"/>
    <w:rsid w:val="00460078"/>
    <w:rsid w:val="004F2641"/>
    <w:rsid w:val="00506FA6"/>
    <w:rsid w:val="00546193"/>
    <w:rsid w:val="0059726C"/>
    <w:rsid w:val="005A7F8C"/>
    <w:rsid w:val="00606009"/>
    <w:rsid w:val="00607814"/>
    <w:rsid w:val="006D739D"/>
    <w:rsid w:val="006E7403"/>
    <w:rsid w:val="00713F26"/>
    <w:rsid w:val="007401FD"/>
    <w:rsid w:val="007507B3"/>
    <w:rsid w:val="007A08A5"/>
    <w:rsid w:val="0089355C"/>
    <w:rsid w:val="00936DC9"/>
    <w:rsid w:val="009C455F"/>
    <w:rsid w:val="00A47B7E"/>
    <w:rsid w:val="00AE6ECD"/>
    <w:rsid w:val="00BC625A"/>
    <w:rsid w:val="00CC655F"/>
    <w:rsid w:val="00D15578"/>
    <w:rsid w:val="00DE104E"/>
    <w:rsid w:val="00E53FCF"/>
    <w:rsid w:val="00EF7807"/>
    <w:rsid w:val="00F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10889"/>
  <w15:docId w15:val="{7F1FBBB1-021A-458A-8F69-72D6F61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pacing w:after="120"/>
      <w:jc w:val="both"/>
    </w:pPr>
    <w:rPr>
      <w:lang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а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і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і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у виносці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A336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A3369"/>
    <w:rPr>
      <w:color w:val="605E5C"/>
      <w:shd w:val="clear" w:color="auto" w:fill="E1DFDD"/>
    </w:rPr>
  </w:style>
  <w:style w:type="paragraph" w:styleId="HTML1">
    <w:name w:val="HTML Preformatted"/>
    <w:basedOn w:val="a"/>
    <w:link w:val="HTML2"/>
    <w:uiPriority w:val="99"/>
    <w:semiHidden/>
    <w:unhideWhenUsed/>
    <w:rsid w:val="005A7F8C"/>
    <w:rPr>
      <w:rFonts w:ascii="Courier New" w:hAnsi="Courier New" w:cs="Courier New"/>
    </w:rPr>
  </w:style>
  <w:style w:type="character" w:customStyle="1" w:styleId="HTML2">
    <w:name w:val="Стандартний HTML Знак"/>
    <w:basedOn w:val="a0"/>
    <w:link w:val="HTML1"/>
    <w:uiPriority w:val="99"/>
    <w:semiHidden/>
    <w:rsid w:val="005A7F8C"/>
    <w:rPr>
      <w:rFonts w:ascii="Courier New" w:hAnsi="Courier New" w:cs="Courier New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Користувач</cp:lastModifiedBy>
  <cp:revision>61</cp:revision>
  <dcterms:created xsi:type="dcterms:W3CDTF">2025-05-09T19:37:00Z</dcterms:created>
  <dcterms:modified xsi:type="dcterms:W3CDTF">2025-05-09T20:41:00Z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