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61A" w:rsidRDefault="00083F90">
      <w:pPr>
        <w:pStyle w:val="Nagwek1"/>
      </w:pPr>
      <w:r>
        <w:t>New co</w:t>
      </w:r>
      <w:r w:rsidR="001C4248">
        <w:t>-</w:t>
      </w:r>
      <w:r w:rsidR="00E449B3">
        <w:t xml:space="preserve">crystals of piracetam with carboxylic acids: </w:t>
      </w:r>
      <w:r w:rsidR="00455398">
        <w:t>synthesis</w:t>
      </w:r>
      <w:r w:rsidR="00E449B3">
        <w:t xml:space="preserve"> and structural studies </w:t>
      </w:r>
    </w:p>
    <w:p w:rsidR="0083661A" w:rsidRDefault="00E449B3">
      <w:pPr>
        <w:pStyle w:val="Nagwek2"/>
      </w:pPr>
      <w:r>
        <w:t>I. Bruchmann</w:t>
      </w:r>
      <w:r w:rsidR="002142E9">
        <w:rPr>
          <w:vertAlign w:val="superscript"/>
        </w:rPr>
        <w:t>1</w:t>
      </w:r>
      <w:r>
        <w:t xml:space="preserve">, </w:t>
      </w:r>
      <w:r w:rsidRPr="00E449B3">
        <w:rPr>
          <w:u w:val="single"/>
        </w:rPr>
        <w:t>L. Mazur</w:t>
      </w:r>
      <w:r w:rsidR="002142E9">
        <w:rPr>
          <w:vertAlign w:val="superscript"/>
        </w:rPr>
        <w:t>1</w:t>
      </w:r>
      <w:r w:rsidR="001312E1">
        <w:rPr>
          <w:vertAlign w:val="superscript"/>
        </w:rPr>
        <w:t xml:space="preserve"> </w:t>
      </w:r>
    </w:p>
    <w:p w:rsidR="0083661A" w:rsidRDefault="002142E9">
      <w:pPr>
        <w:pStyle w:val="Nagwek3"/>
      </w:pPr>
      <w:r>
        <w:rPr>
          <w:vertAlign w:val="superscript"/>
        </w:rPr>
        <w:t>1</w:t>
      </w:r>
      <w:r w:rsidR="00E449B3">
        <w:t>Institute of Chemical Sciences</w:t>
      </w:r>
      <w:r>
        <w:t>,</w:t>
      </w:r>
      <w:r w:rsidR="00E449B3">
        <w:t xml:space="preserve"> Maria Curie-</w:t>
      </w:r>
      <w:proofErr w:type="spellStart"/>
      <w:r w:rsidR="00E449B3">
        <w:t>Sklodowska</w:t>
      </w:r>
      <w:proofErr w:type="spellEnd"/>
      <w:r w:rsidR="00E449B3">
        <w:t xml:space="preserve"> University, Pl. M. Curie-</w:t>
      </w:r>
      <w:proofErr w:type="spellStart"/>
      <w:r w:rsidR="00E449B3">
        <w:t>Skłodowskiej</w:t>
      </w:r>
      <w:proofErr w:type="spellEnd"/>
      <w:r w:rsidR="00E449B3">
        <w:t xml:space="preserve"> 2, 20-031 Lublin</w:t>
      </w:r>
      <w:r w:rsidR="00E84E39">
        <w:t>, Poland</w:t>
      </w:r>
    </w:p>
    <w:p w:rsidR="0083661A" w:rsidRDefault="002142E9">
      <w:pPr>
        <w:pStyle w:val="Nagwek3"/>
        <w:rPr>
          <w:sz w:val="18"/>
          <w:szCs w:val="18"/>
        </w:rPr>
      </w:pPr>
      <w:r>
        <w:t>E</w:t>
      </w:r>
      <w:r w:rsidR="00E449B3">
        <w:t>-mail: liliana.mazur@mail.umcs.pl</w:t>
      </w:r>
      <w:r>
        <w:t xml:space="preserve"> </w:t>
      </w:r>
      <w:r>
        <w:rPr>
          <w:lang w:eastAsia="de-DE"/>
        </w:rPr>
        <w:br/>
      </w:r>
    </w:p>
    <w:p w:rsidR="001312E1" w:rsidRPr="001312E1" w:rsidRDefault="001312E1" w:rsidP="001312E1">
      <w:pPr>
        <w:rPr>
          <w:vertAlign w:val="superscript"/>
          <w:lang w:val="en-US"/>
        </w:rPr>
      </w:pPr>
      <w:r w:rsidRPr="001312E1">
        <w:rPr>
          <w:lang w:val="en-US"/>
        </w:rPr>
        <w:t>Co</w:t>
      </w:r>
      <w:r w:rsidR="001C4248">
        <w:rPr>
          <w:lang w:val="en-US"/>
        </w:rPr>
        <w:t>-</w:t>
      </w:r>
      <w:r w:rsidRPr="001312E1">
        <w:rPr>
          <w:lang w:val="en-US"/>
        </w:rPr>
        <w:t>crystals are attracting more and more attention</w:t>
      </w:r>
      <w:r w:rsidRPr="001312E1">
        <w:rPr>
          <w:spacing w:val="-2"/>
          <w:lang w:val="en-US"/>
        </w:rPr>
        <w:t xml:space="preserve"> as functional materials, in general, and </w:t>
      </w:r>
      <w:r w:rsidR="009E6B2F">
        <w:rPr>
          <w:spacing w:val="-2"/>
          <w:lang w:val="en-US"/>
        </w:rPr>
        <w:t xml:space="preserve">as </w:t>
      </w:r>
      <w:r w:rsidRPr="001312E1">
        <w:rPr>
          <w:spacing w:val="-2"/>
          <w:lang w:val="en-US"/>
        </w:rPr>
        <w:t>pharmaceutical</w:t>
      </w:r>
      <w:r w:rsidRPr="001312E1">
        <w:rPr>
          <w:lang w:val="en-US"/>
        </w:rPr>
        <w:t xml:space="preserve"> solids in particu</w:t>
      </w:r>
      <w:r w:rsidR="00083F90">
        <w:rPr>
          <w:lang w:val="en-US"/>
        </w:rPr>
        <w:t>lar. Multicomponent crystal</w:t>
      </w:r>
      <w:r w:rsidRPr="001312E1">
        <w:rPr>
          <w:lang w:val="en-US"/>
        </w:rPr>
        <w:t>s just like single-component solids can be polymorphic</w:t>
      </w:r>
      <w:r>
        <w:rPr>
          <w:lang w:val="en-US"/>
        </w:rPr>
        <w:t xml:space="preserve"> [1]</w:t>
      </w:r>
      <w:r w:rsidRPr="001312E1">
        <w:rPr>
          <w:lang w:val="en-US"/>
        </w:rPr>
        <w:t>.</w:t>
      </w:r>
      <w:r>
        <w:rPr>
          <w:lang w:val="en-US"/>
        </w:rPr>
        <w:t xml:space="preserve"> </w:t>
      </w:r>
      <w:r w:rsidRPr="001312E1">
        <w:rPr>
          <w:lang w:val="en-US"/>
        </w:rPr>
        <w:t xml:space="preserve">Furthermore, the total number of crystal forms for a given molecule available </w:t>
      </w:r>
      <w:r w:rsidRPr="001312E1">
        <w:rPr>
          <w:i/>
          <w:lang w:val="en-US"/>
        </w:rPr>
        <w:t>via</w:t>
      </w:r>
      <w:r w:rsidRPr="001312E1">
        <w:rPr>
          <w:lang w:val="en-US"/>
        </w:rPr>
        <w:t xml:space="preserve"> co</w:t>
      </w:r>
      <w:r w:rsidR="001C4248">
        <w:rPr>
          <w:lang w:val="en-US"/>
        </w:rPr>
        <w:t>-</w:t>
      </w:r>
      <w:r w:rsidRPr="001312E1">
        <w:rPr>
          <w:lang w:val="en-US"/>
        </w:rPr>
        <w:t>crystalli</w:t>
      </w:r>
      <w:r w:rsidR="00083F90">
        <w:rPr>
          <w:lang w:val="en-US"/>
        </w:rPr>
        <w:t>z</w:t>
      </w:r>
      <w:r w:rsidRPr="001312E1">
        <w:rPr>
          <w:lang w:val="en-US"/>
        </w:rPr>
        <w:t xml:space="preserve">ation can be increased through </w:t>
      </w:r>
      <w:r w:rsidRPr="001312E1">
        <w:rPr>
          <w:bCs/>
          <w:lang w:val="en-US"/>
        </w:rPr>
        <w:t>stoichiometric variations and solvates formation</w:t>
      </w:r>
      <w:r>
        <w:rPr>
          <w:bCs/>
          <w:lang w:val="en-US"/>
        </w:rPr>
        <w:t xml:space="preserve"> [2].</w:t>
      </w:r>
    </w:p>
    <w:p w:rsidR="001312E1" w:rsidRPr="001312E1" w:rsidRDefault="001312E1" w:rsidP="001312E1">
      <w:pPr>
        <w:rPr>
          <w:spacing w:val="-4"/>
          <w:lang w:val="en"/>
        </w:rPr>
      </w:pPr>
      <w:r w:rsidRPr="001312E1">
        <w:rPr>
          <w:spacing w:val="-4"/>
          <w:lang w:val="en-US"/>
        </w:rPr>
        <w:t xml:space="preserve">The </w:t>
      </w:r>
      <w:r w:rsidRPr="001312E1">
        <w:rPr>
          <w:bCs/>
          <w:spacing w:val="-4"/>
          <w:lang w:val="en-US"/>
        </w:rPr>
        <w:t>aim of this study</w:t>
      </w:r>
      <w:r w:rsidRPr="001312E1">
        <w:rPr>
          <w:spacing w:val="-4"/>
          <w:lang w:val="en-US"/>
        </w:rPr>
        <w:t xml:space="preserve"> was </w:t>
      </w:r>
      <w:r w:rsidR="00537215">
        <w:rPr>
          <w:spacing w:val="-4"/>
          <w:lang w:val="en-US"/>
        </w:rPr>
        <w:t xml:space="preserve">to </w:t>
      </w:r>
      <w:r w:rsidR="009E6B2F">
        <w:rPr>
          <w:spacing w:val="-4"/>
          <w:lang w:val="en-US"/>
        </w:rPr>
        <w:t>examine</w:t>
      </w:r>
      <w:r w:rsidRPr="001312E1">
        <w:rPr>
          <w:spacing w:val="-4"/>
          <w:lang w:val="en-US"/>
        </w:rPr>
        <w:t xml:space="preserve"> the possibility of </w:t>
      </w:r>
      <w:r w:rsidRPr="001312E1">
        <w:rPr>
          <w:lang w:val="en-US"/>
        </w:rPr>
        <w:t>co</w:t>
      </w:r>
      <w:r>
        <w:rPr>
          <w:lang w:val="en-US"/>
        </w:rPr>
        <w:t>-</w:t>
      </w:r>
      <w:r w:rsidRPr="001312E1">
        <w:rPr>
          <w:lang w:val="en-US"/>
        </w:rPr>
        <w:t>crystal formation between piracetam (PC)</w:t>
      </w:r>
      <w:r w:rsidRPr="001312E1">
        <w:rPr>
          <w:spacing w:val="-2"/>
          <w:lang w:val="en-US"/>
        </w:rPr>
        <w:t xml:space="preserve"> - an old nootropic drug</w:t>
      </w:r>
      <w:r>
        <w:rPr>
          <w:spacing w:val="-2"/>
          <w:lang w:val="en-US"/>
        </w:rPr>
        <w:t xml:space="preserve"> [3]</w:t>
      </w:r>
      <w:r>
        <w:rPr>
          <w:spacing w:val="-2"/>
          <w:vertAlign w:val="superscript"/>
          <w:lang w:val="en-US"/>
        </w:rPr>
        <w:t xml:space="preserve"> </w:t>
      </w:r>
      <w:r w:rsidRPr="001312E1">
        <w:rPr>
          <w:spacing w:val="-2"/>
          <w:lang w:val="en"/>
        </w:rPr>
        <w:t xml:space="preserve">and </w:t>
      </w:r>
      <w:proofErr w:type="spellStart"/>
      <w:r w:rsidRPr="001312E1">
        <w:rPr>
          <w:spacing w:val="-2"/>
          <w:lang w:val="en"/>
        </w:rPr>
        <w:t>mesaconic</w:t>
      </w:r>
      <w:proofErr w:type="spellEnd"/>
      <w:r w:rsidRPr="001312E1">
        <w:rPr>
          <w:spacing w:val="-2"/>
          <w:lang w:val="en"/>
        </w:rPr>
        <w:t xml:space="preserve"> (MES), salicylic (SAL) and 3,5-</w:t>
      </w:r>
      <w:r w:rsidR="00083F90">
        <w:rPr>
          <w:spacing w:val="-2"/>
          <w:lang w:val="en"/>
        </w:rPr>
        <w:t>dihydroxybenzoic (</w:t>
      </w:r>
      <w:r w:rsidR="00F5786E">
        <w:rPr>
          <w:spacing w:val="-2"/>
          <w:lang w:val="en"/>
        </w:rPr>
        <w:t>DHB) acids</w:t>
      </w:r>
      <w:r w:rsidRPr="001312E1">
        <w:rPr>
          <w:spacing w:val="-2"/>
          <w:lang w:val="en"/>
        </w:rPr>
        <w:t xml:space="preserve">. Particular attention was paid to </w:t>
      </w:r>
      <w:r w:rsidR="009E6B2F" w:rsidRPr="001312E1">
        <w:rPr>
          <w:lang w:val="en"/>
        </w:rPr>
        <w:t>adducts</w:t>
      </w:r>
      <w:r w:rsidR="009E6B2F" w:rsidRPr="001312E1">
        <w:rPr>
          <w:spacing w:val="-2"/>
          <w:lang w:val="en"/>
        </w:rPr>
        <w:t xml:space="preserve"> </w:t>
      </w:r>
      <w:r w:rsidRPr="001312E1">
        <w:rPr>
          <w:spacing w:val="-2"/>
          <w:lang w:val="en"/>
        </w:rPr>
        <w:t>propensity</w:t>
      </w:r>
      <w:r w:rsidRPr="001312E1">
        <w:rPr>
          <w:lang w:val="en"/>
        </w:rPr>
        <w:t xml:space="preserve"> to </w:t>
      </w:r>
      <w:r w:rsidRPr="001312E1">
        <w:rPr>
          <w:bCs/>
          <w:lang w:val="en"/>
        </w:rPr>
        <w:t>polymorphism and solvates formation</w:t>
      </w:r>
      <w:r w:rsidRPr="001312E1">
        <w:rPr>
          <w:lang w:val="en"/>
        </w:rPr>
        <w:t xml:space="preserve">. </w:t>
      </w:r>
      <w:r w:rsidR="009E6B2F">
        <w:rPr>
          <w:spacing w:val="-4"/>
          <w:lang w:val="en"/>
        </w:rPr>
        <w:t xml:space="preserve">The </w:t>
      </w:r>
      <w:r w:rsidRPr="001312E1">
        <w:rPr>
          <w:spacing w:val="-4"/>
          <w:lang w:val="en"/>
        </w:rPr>
        <w:t xml:space="preserve">other goal was to investigate the influence of experimental conditions, such as </w:t>
      </w:r>
      <w:r w:rsidR="00F5786E">
        <w:rPr>
          <w:spacing w:val="-4"/>
          <w:lang w:val="en"/>
        </w:rPr>
        <w:t xml:space="preserve">synthesis method, </w:t>
      </w:r>
      <w:r w:rsidRPr="001312E1">
        <w:rPr>
          <w:rStyle w:val="FontStyle16"/>
        </w:rPr>
        <w:t>stoichi</w:t>
      </w:r>
      <w:r w:rsidR="00F5786E">
        <w:rPr>
          <w:rStyle w:val="FontStyle16"/>
        </w:rPr>
        <w:t>ometric ratio of the components or</w:t>
      </w:r>
      <w:r w:rsidR="00455398" w:rsidRPr="001312E1">
        <w:rPr>
          <w:rStyle w:val="FontStyle16"/>
        </w:rPr>
        <w:t xml:space="preserve"> </w:t>
      </w:r>
      <w:r w:rsidRPr="001312E1">
        <w:rPr>
          <w:rStyle w:val="FontStyle16"/>
        </w:rPr>
        <w:t>polarity of the solvent</w:t>
      </w:r>
      <w:r w:rsidR="00455398" w:rsidRPr="001312E1">
        <w:rPr>
          <w:spacing w:val="-4"/>
          <w:lang w:val="en"/>
        </w:rPr>
        <w:t xml:space="preserve"> </w:t>
      </w:r>
      <w:r w:rsidR="00A40FCA">
        <w:rPr>
          <w:spacing w:val="-4"/>
          <w:lang w:val="en"/>
        </w:rPr>
        <w:t xml:space="preserve">used </w:t>
      </w:r>
      <w:r w:rsidRPr="001312E1">
        <w:rPr>
          <w:spacing w:val="-4"/>
          <w:lang w:val="en"/>
        </w:rPr>
        <w:t xml:space="preserve">on the </w:t>
      </w:r>
      <w:r w:rsidR="00F5786E">
        <w:rPr>
          <w:spacing w:val="-4"/>
          <w:lang w:val="en"/>
        </w:rPr>
        <w:t>resulting solids</w:t>
      </w:r>
      <w:r w:rsidRPr="001312E1">
        <w:rPr>
          <w:spacing w:val="-4"/>
          <w:lang w:val="en"/>
        </w:rPr>
        <w:t xml:space="preserve">. </w:t>
      </w:r>
      <w:r w:rsidRPr="001312E1">
        <w:rPr>
          <w:spacing w:val="-4"/>
          <w:lang w:val="en-US"/>
        </w:rPr>
        <w:t>This was accomplished</w:t>
      </w:r>
      <w:r w:rsidRPr="001312E1">
        <w:rPr>
          <w:lang w:val="en-US"/>
        </w:rPr>
        <w:t xml:space="preserve"> by applying a wide spectrum of co</w:t>
      </w:r>
      <w:r>
        <w:rPr>
          <w:lang w:val="en-US"/>
        </w:rPr>
        <w:t>-</w:t>
      </w:r>
      <w:r w:rsidRPr="001312E1">
        <w:rPr>
          <w:lang w:val="en-US"/>
        </w:rPr>
        <w:t xml:space="preserve">crystal screening </w:t>
      </w:r>
      <w:r w:rsidRPr="001312E1">
        <w:rPr>
          <w:spacing w:val="-4"/>
          <w:lang w:val="en-US"/>
        </w:rPr>
        <w:t xml:space="preserve">techniques; </w:t>
      </w:r>
      <w:r w:rsidRPr="001312E1">
        <w:rPr>
          <w:i/>
          <w:iCs/>
          <w:spacing w:val="-4"/>
          <w:lang w:val="en-US"/>
        </w:rPr>
        <w:t>e.g.</w:t>
      </w:r>
      <w:r w:rsidRPr="001312E1">
        <w:rPr>
          <w:spacing w:val="-4"/>
          <w:lang w:val="en-US"/>
        </w:rPr>
        <w:t xml:space="preserve"> solution crystallization, slurring, neat grinding (NG), liquid-assisted grinding (LAG). </w:t>
      </w:r>
      <w:r w:rsidR="009E6B2F">
        <w:rPr>
          <w:spacing w:val="-4"/>
          <w:lang w:val="en-US"/>
        </w:rPr>
        <w:t>The s</w:t>
      </w:r>
      <w:r w:rsidRPr="001312E1">
        <w:rPr>
          <w:spacing w:val="-4"/>
          <w:lang w:val="en-US"/>
        </w:rPr>
        <w:t>ingle crystal X-ray diffraction analysis, supported by</w:t>
      </w:r>
      <w:r w:rsidR="009E6B2F">
        <w:rPr>
          <w:spacing w:val="-4"/>
          <w:lang w:val="en-US"/>
        </w:rPr>
        <w:t xml:space="preserve"> the</w:t>
      </w:r>
      <w:r w:rsidRPr="001312E1">
        <w:rPr>
          <w:spacing w:val="-4"/>
          <w:lang w:val="en-US"/>
        </w:rPr>
        <w:t xml:space="preserve"> </w:t>
      </w:r>
      <w:r w:rsidR="00F5786E">
        <w:rPr>
          <w:spacing w:val="-4"/>
          <w:lang w:val="en-US"/>
        </w:rPr>
        <w:t xml:space="preserve">powder </w:t>
      </w:r>
      <w:r w:rsidR="00DA2DCC">
        <w:rPr>
          <w:spacing w:val="-4"/>
          <w:lang w:val="en-US"/>
        </w:rPr>
        <w:t xml:space="preserve">X-ray </w:t>
      </w:r>
      <w:r w:rsidR="00F5786E">
        <w:rPr>
          <w:spacing w:val="-4"/>
          <w:lang w:val="en-US"/>
        </w:rPr>
        <w:t xml:space="preserve">diffraction and </w:t>
      </w:r>
      <w:r w:rsidR="00A40FCA">
        <w:rPr>
          <w:spacing w:val="-4"/>
          <w:lang w:val="en-US"/>
        </w:rPr>
        <w:t xml:space="preserve">the </w:t>
      </w:r>
      <w:bookmarkStart w:id="0" w:name="_GoBack"/>
      <w:bookmarkEnd w:id="0"/>
      <w:r w:rsidRPr="001312E1">
        <w:rPr>
          <w:spacing w:val="-4"/>
          <w:lang w:val="en-US"/>
        </w:rPr>
        <w:t>IR spectroscopy</w:t>
      </w:r>
      <w:r w:rsidRPr="001312E1">
        <w:rPr>
          <w:spacing w:val="-2"/>
          <w:lang w:val="en-US"/>
        </w:rPr>
        <w:t xml:space="preserve"> </w:t>
      </w:r>
      <w:r w:rsidRPr="001312E1">
        <w:rPr>
          <w:spacing w:val="-4"/>
          <w:lang w:val="en-US"/>
        </w:rPr>
        <w:t xml:space="preserve">were used to study the </w:t>
      </w:r>
      <w:r w:rsidR="001D1248">
        <w:rPr>
          <w:spacing w:val="-4"/>
          <w:lang w:val="en-US"/>
        </w:rPr>
        <w:t xml:space="preserve">molecular structure, composition </w:t>
      </w:r>
      <w:r w:rsidRPr="001312E1">
        <w:rPr>
          <w:lang w:val="en-US"/>
        </w:rPr>
        <w:t xml:space="preserve">and synthon preferences in the </w:t>
      </w:r>
      <w:r w:rsidR="001D1248">
        <w:rPr>
          <w:lang w:val="en-US"/>
        </w:rPr>
        <w:t>obtained multicomponent crystals</w:t>
      </w:r>
      <w:r w:rsidRPr="001312E1">
        <w:rPr>
          <w:lang w:val="en-US"/>
        </w:rPr>
        <w:t>.</w:t>
      </w:r>
    </w:p>
    <w:p w:rsidR="001312E1" w:rsidRPr="001312E1" w:rsidRDefault="001312E1" w:rsidP="001312E1">
      <w:pPr>
        <w:rPr>
          <w:lang w:val="en-US"/>
        </w:rPr>
      </w:pPr>
      <w:r w:rsidRPr="001312E1">
        <w:rPr>
          <w:rStyle w:val="FontStyle16"/>
        </w:rPr>
        <w:t>The stud</w:t>
      </w:r>
      <w:r w:rsidR="00602261">
        <w:rPr>
          <w:rStyle w:val="FontStyle16"/>
        </w:rPr>
        <w:t>ies</w:t>
      </w:r>
      <w:r w:rsidRPr="001312E1">
        <w:rPr>
          <w:rStyle w:val="FontStyle16"/>
        </w:rPr>
        <w:t xml:space="preserve"> </w:t>
      </w:r>
      <w:r w:rsidR="00602261">
        <w:rPr>
          <w:rStyle w:val="FontStyle16"/>
        </w:rPr>
        <w:t>confirm</w:t>
      </w:r>
      <w:r w:rsidRPr="001312E1">
        <w:rPr>
          <w:rStyle w:val="FontStyle16"/>
        </w:rPr>
        <w:t xml:space="preserve">ed that piracetam can form </w:t>
      </w:r>
      <w:r w:rsidR="001D1248">
        <w:rPr>
          <w:rStyle w:val="FontStyle16"/>
        </w:rPr>
        <w:t xml:space="preserve">stable </w:t>
      </w:r>
      <w:r w:rsidRPr="001312E1">
        <w:rPr>
          <w:rStyle w:val="FontStyle16"/>
        </w:rPr>
        <w:t>co</w:t>
      </w:r>
      <w:r>
        <w:rPr>
          <w:rStyle w:val="FontStyle16"/>
        </w:rPr>
        <w:t>-</w:t>
      </w:r>
      <w:r w:rsidRPr="001312E1">
        <w:rPr>
          <w:rStyle w:val="FontStyle16"/>
        </w:rPr>
        <w:t xml:space="preserve">crystals with all selected carboxylic acids. Moreover, as in the case of </w:t>
      </w:r>
      <w:r w:rsidR="009E6B2F">
        <w:rPr>
          <w:rStyle w:val="FontStyle16"/>
        </w:rPr>
        <w:t>the</w:t>
      </w:r>
      <w:r w:rsidRPr="001312E1">
        <w:rPr>
          <w:rStyle w:val="FontStyle16"/>
        </w:rPr>
        <w:t xml:space="preserve"> pure drug</w:t>
      </w:r>
      <w:r w:rsidR="001D1248">
        <w:rPr>
          <w:rStyle w:val="FontStyle16"/>
        </w:rPr>
        <w:t xml:space="preserve"> [4] they</w:t>
      </w:r>
      <w:r w:rsidR="00E15D85">
        <w:rPr>
          <w:rStyle w:val="FontStyle16"/>
        </w:rPr>
        <w:t xml:space="preserve"> can be polymorphic. </w:t>
      </w:r>
      <w:r w:rsidRPr="001312E1">
        <w:rPr>
          <w:rStyle w:val="FontStyle16"/>
        </w:rPr>
        <w:t>Depending on the polarity of the solvent used for solution crystallization a</w:t>
      </w:r>
      <w:r w:rsidR="00FE3FB6">
        <w:rPr>
          <w:rStyle w:val="FontStyle16"/>
        </w:rPr>
        <w:t>nd milling</w:t>
      </w:r>
      <w:r w:rsidR="009E6B2F">
        <w:rPr>
          <w:rStyle w:val="FontStyle16"/>
        </w:rPr>
        <w:t>,</w:t>
      </w:r>
      <w:r w:rsidR="00FE3FB6">
        <w:rPr>
          <w:rStyle w:val="FontStyle16"/>
        </w:rPr>
        <w:t xml:space="preserve"> two polymorphs of PC</w:t>
      </w:r>
      <w:r w:rsidR="00083F90">
        <w:rPr>
          <w:rStyle w:val="FontStyle16"/>
        </w:rPr>
        <w:t>-</w:t>
      </w:r>
      <w:r w:rsidRPr="001312E1">
        <w:rPr>
          <w:rStyle w:val="FontStyle16"/>
        </w:rPr>
        <w:t>MES</w:t>
      </w:r>
      <w:r w:rsidR="00FE3FB6">
        <w:rPr>
          <w:rStyle w:val="FontStyle16"/>
        </w:rPr>
        <w:t xml:space="preserve"> (1:1) and two polymorphs of PC</w:t>
      </w:r>
      <w:r w:rsidR="00083F90">
        <w:rPr>
          <w:rStyle w:val="FontStyle16"/>
        </w:rPr>
        <w:t>-</w:t>
      </w:r>
      <w:r w:rsidRPr="001312E1">
        <w:rPr>
          <w:rStyle w:val="FontStyle16"/>
        </w:rPr>
        <w:t>SAL (1:1) co</w:t>
      </w:r>
      <w:r>
        <w:rPr>
          <w:rStyle w:val="FontStyle16"/>
        </w:rPr>
        <w:t>-</w:t>
      </w:r>
      <w:r w:rsidRPr="001312E1">
        <w:rPr>
          <w:rStyle w:val="FontStyle16"/>
        </w:rPr>
        <w:t>crystals were</w:t>
      </w:r>
      <w:r w:rsidR="00FE3FB6">
        <w:rPr>
          <w:rStyle w:val="FontStyle16"/>
        </w:rPr>
        <w:t xml:space="preserve"> obtained (Fig. 1). In turn, PC</w:t>
      </w:r>
      <w:r w:rsidRPr="001312E1">
        <w:rPr>
          <w:rStyle w:val="FontStyle16"/>
        </w:rPr>
        <w:t xml:space="preserve">-DHB (1:1) is available in its </w:t>
      </w:r>
      <w:proofErr w:type="spellStart"/>
      <w:r w:rsidRPr="001312E1">
        <w:rPr>
          <w:rStyle w:val="FontStyle16"/>
        </w:rPr>
        <w:t>unsolvated</w:t>
      </w:r>
      <w:proofErr w:type="spellEnd"/>
      <w:r w:rsidRPr="001312E1">
        <w:rPr>
          <w:rStyle w:val="FontStyle16"/>
        </w:rPr>
        <w:t xml:space="preserve"> form and as a solvate with 1,4-dioxane. </w:t>
      </w:r>
      <w:r w:rsidRPr="001312E1">
        <w:rPr>
          <w:bCs/>
          <w:lang w:val="en-US"/>
        </w:rPr>
        <w:t xml:space="preserve">All detected multicomponent crystal forms are accessible </w:t>
      </w:r>
      <w:r w:rsidRPr="001312E1">
        <w:rPr>
          <w:bCs/>
          <w:i/>
          <w:iCs/>
          <w:lang w:val="en-US"/>
        </w:rPr>
        <w:t>via</w:t>
      </w:r>
      <w:r w:rsidRPr="001312E1">
        <w:rPr>
          <w:bCs/>
          <w:lang w:val="en-US"/>
        </w:rPr>
        <w:t xml:space="preserve"> solution crystallization</w:t>
      </w:r>
      <w:r w:rsidRPr="001312E1">
        <w:rPr>
          <w:bCs/>
          <w:spacing w:val="-2"/>
          <w:lang w:val="en-US"/>
        </w:rPr>
        <w:t>, some via NG or LAG, however, solution crystallization and LAG, using the same solvent can lead to different outcomes.</w:t>
      </w:r>
    </w:p>
    <w:p w:rsidR="00124204" w:rsidRDefault="00124204" w:rsidP="00124204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5466"/>
      </w:tblGrid>
      <w:tr w:rsidR="00124204" w:rsidRPr="00C215F2" w:rsidTr="00105AFD">
        <w:tc>
          <w:tcPr>
            <w:tcW w:w="5395" w:type="dxa"/>
          </w:tcPr>
          <w:p w:rsidR="00124204" w:rsidRPr="00124204" w:rsidRDefault="00FE3FB6" w:rsidP="00083F90">
            <w:pPr>
              <w:jc w:val="center"/>
            </w:pPr>
            <w:r>
              <w:t>PC</w:t>
            </w:r>
            <w:r w:rsidR="00083F90">
              <w:t>-</w:t>
            </w:r>
            <w:r w:rsidR="00124204" w:rsidRPr="00124204">
              <w:t xml:space="preserve">SAL (triclinic, </w:t>
            </w:r>
            <w:r w:rsidR="00124204" w:rsidRPr="00124204">
              <w:rPr>
                <w:i/>
              </w:rPr>
              <w:t>P</w:t>
            </w:r>
            <w:r w:rsidR="00124204" w:rsidRPr="00124204">
              <w:t>-1)</w:t>
            </w:r>
          </w:p>
        </w:tc>
        <w:tc>
          <w:tcPr>
            <w:tcW w:w="5395" w:type="dxa"/>
          </w:tcPr>
          <w:p w:rsidR="00124204" w:rsidRPr="00124204" w:rsidRDefault="00FE3FB6" w:rsidP="00FE3FB6">
            <w:pPr>
              <w:jc w:val="center"/>
              <w:rPr>
                <w:i/>
              </w:rPr>
            </w:pPr>
            <w:r>
              <w:t>PC</w:t>
            </w:r>
            <w:r w:rsidR="00083F90">
              <w:t>-</w:t>
            </w:r>
            <w:r w:rsidR="00124204" w:rsidRPr="00124204">
              <w:t>SAL</w:t>
            </w:r>
            <w:r w:rsidR="00124204" w:rsidRPr="00124204">
              <w:rPr>
                <w:i/>
              </w:rPr>
              <w:t xml:space="preserve"> </w:t>
            </w:r>
            <w:r w:rsidR="00124204" w:rsidRPr="00124204">
              <w:t xml:space="preserve">(monoclinic, </w:t>
            </w:r>
            <w:r w:rsidR="00124204" w:rsidRPr="00124204">
              <w:rPr>
                <w:i/>
              </w:rPr>
              <w:t>P</w:t>
            </w:r>
            <w:r w:rsidR="00124204" w:rsidRPr="00124204">
              <w:t>2</w:t>
            </w:r>
            <w:r w:rsidR="00124204" w:rsidRPr="00124204">
              <w:rPr>
                <w:vertAlign w:val="subscript"/>
              </w:rPr>
              <w:t>1</w:t>
            </w:r>
            <w:r w:rsidR="00124204" w:rsidRPr="00124204">
              <w:rPr>
                <w:i/>
              </w:rPr>
              <w:t>/c</w:t>
            </w:r>
            <w:r w:rsidR="00124204" w:rsidRPr="00124204">
              <w:t>)</w:t>
            </w:r>
          </w:p>
        </w:tc>
      </w:tr>
      <w:tr w:rsidR="00124204" w:rsidTr="00105AFD">
        <w:tc>
          <w:tcPr>
            <w:tcW w:w="5395" w:type="dxa"/>
          </w:tcPr>
          <w:p w:rsidR="00124204" w:rsidRDefault="00124204" w:rsidP="00105AFD">
            <w:pPr>
              <w:jc w:val="center"/>
              <w:rPr>
                <w:noProof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4756E9D3" wp14:editId="6C552CC6">
                  <wp:extent cx="3085106" cy="1950451"/>
                  <wp:effectExtent l="0" t="0" r="1270" b="0"/>
                  <wp:docPr id="17" name="Obraz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6232D5-1A44-4933-AE0F-FFA02FA3BB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6">
                            <a:extLst>
                              <a:ext uri="{FF2B5EF4-FFF2-40B4-BE49-F238E27FC236}">
                                <a16:creationId xmlns:a16="http://schemas.microsoft.com/office/drawing/2014/main" id="{5C6232D5-1A44-4933-AE0F-FFA02FA3BB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5658" t="6949" r="15034" b="6555"/>
                          <a:stretch/>
                        </pic:blipFill>
                        <pic:spPr>
                          <a:xfrm>
                            <a:off x="0" y="0"/>
                            <a:ext cx="3132415" cy="198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124204" w:rsidRPr="006A7732" w:rsidRDefault="00124204" w:rsidP="00105AFD">
            <w:pPr>
              <w:jc w:val="right"/>
              <w:rPr>
                <w:noProof/>
                <w:sz w:val="16"/>
                <w:szCs w:val="16"/>
              </w:rPr>
            </w:pPr>
          </w:p>
          <w:p w:rsidR="00124204" w:rsidRPr="00C215F2" w:rsidRDefault="00124204" w:rsidP="00105AFD">
            <w:pPr>
              <w:jc w:val="right"/>
              <w:rPr>
                <w:rFonts w:ascii="Arial" w:hAnsi="Arial" w:cs="Aria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AA3A211" wp14:editId="128D1CA7">
                  <wp:extent cx="3329130" cy="1752131"/>
                  <wp:effectExtent l="0" t="0" r="5080" b="635"/>
                  <wp:docPr id="20" name="Obraz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FF21C3-707A-4701-97FE-190E0B1041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 19">
                            <a:extLst>
                              <a:ext uri="{FF2B5EF4-FFF2-40B4-BE49-F238E27FC236}">
                                <a16:creationId xmlns:a16="http://schemas.microsoft.com/office/drawing/2014/main" id="{2CFF21C3-707A-4701-97FE-190E0B1041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8083" t="6948" r="14194" b="10829"/>
                          <a:stretch/>
                        </pic:blipFill>
                        <pic:spPr>
                          <a:xfrm>
                            <a:off x="0" y="0"/>
                            <a:ext cx="3398892" cy="1788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204" w:rsidRDefault="00124204" w:rsidP="00124204">
      <w:pPr>
        <w:pStyle w:val="Nagwek6"/>
        <w:jc w:val="both"/>
      </w:pPr>
    </w:p>
    <w:p w:rsidR="00124204" w:rsidRDefault="00124204" w:rsidP="00124204">
      <w:pPr>
        <w:pStyle w:val="Nagwek6"/>
      </w:pPr>
      <w:r>
        <w:rPr>
          <w:b/>
        </w:rPr>
        <w:t>Figure 1</w:t>
      </w:r>
      <w:r>
        <w:t>.</w:t>
      </w:r>
      <w:r w:rsidR="009E6B2F">
        <w:t xml:space="preserve"> Asymmetric unit in crystals of the</w:t>
      </w:r>
      <w:r w:rsidR="00FE3FB6">
        <w:t xml:space="preserve"> polymorphs</w:t>
      </w:r>
      <w:r>
        <w:t xml:space="preserve"> of </w:t>
      </w:r>
      <w:r w:rsidR="00083F90">
        <w:t>PC-SAL (1:1)</w:t>
      </w:r>
      <w:r>
        <w:t>.</w:t>
      </w:r>
    </w:p>
    <w:p w:rsidR="0090051D" w:rsidRDefault="0090051D"/>
    <w:p w:rsidR="0090051D" w:rsidRDefault="0090051D"/>
    <w:p w:rsidR="00455398" w:rsidRPr="00455398" w:rsidRDefault="00455398" w:rsidP="00455398">
      <w:pPr>
        <w:pStyle w:val="Tekstpodstawowy2"/>
        <w:tabs>
          <w:tab w:val="left" w:pos="360"/>
        </w:tabs>
        <w:spacing w:line="240" w:lineRule="auto"/>
        <w:rPr>
          <w:sz w:val="18"/>
          <w:szCs w:val="18"/>
          <w:lang w:val="en-US"/>
        </w:rPr>
      </w:pPr>
      <w:r w:rsidRPr="00455398">
        <w:rPr>
          <w:rStyle w:val="FontStyle16"/>
          <w:spacing w:val="-4"/>
          <w:sz w:val="18"/>
          <w:szCs w:val="18"/>
        </w:rPr>
        <w:t xml:space="preserve">[1] </w:t>
      </w:r>
      <w:proofErr w:type="spellStart"/>
      <w:r w:rsidRPr="00455398">
        <w:rPr>
          <w:sz w:val="18"/>
          <w:szCs w:val="18"/>
          <w:lang w:val="en-US"/>
        </w:rPr>
        <w:t>Aitipamula</w:t>
      </w:r>
      <w:proofErr w:type="spellEnd"/>
      <w:r w:rsidRPr="00455398">
        <w:rPr>
          <w:sz w:val="18"/>
          <w:szCs w:val="18"/>
          <w:lang w:val="en-US"/>
        </w:rPr>
        <w:t>, S., Chow, P.</w:t>
      </w:r>
      <w:r>
        <w:rPr>
          <w:sz w:val="18"/>
          <w:szCs w:val="18"/>
          <w:lang w:val="en-US"/>
        </w:rPr>
        <w:t xml:space="preserve"> </w:t>
      </w:r>
      <w:r w:rsidRPr="00455398">
        <w:rPr>
          <w:sz w:val="18"/>
          <w:szCs w:val="18"/>
          <w:lang w:val="en-US"/>
        </w:rPr>
        <w:t>S., Tan, R.</w:t>
      </w:r>
      <w:r>
        <w:rPr>
          <w:sz w:val="18"/>
          <w:szCs w:val="18"/>
          <w:lang w:val="en-US"/>
        </w:rPr>
        <w:t xml:space="preserve"> </w:t>
      </w:r>
      <w:r w:rsidRPr="00455398">
        <w:rPr>
          <w:sz w:val="18"/>
          <w:szCs w:val="18"/>
          <w:lang w:val="en-US"/>
        </w:rPr>
        <w:t>B.</w:t>
      </w:r>
      <w:r>
        <w:rPr>
          <w:sz w:val="18"/>
          <w:szCs w:val="18"/>
          <w:lang w:val="en-US"/>
        </w:rPr>
        <w:t xml:space="preserve"> </w:t>
      </w:r>
      <w:r w:rsidRPr="00455398">
        <w:rPr>
          <w:sz w:val="18"/>
          <w:szCs w:val="18"/>
          <w:lang w:val="en-US"/>
        </w:rPr>
        <w:t xml:space="preserve">H. (2014). </w:t>
      </w:r>
      <w:proofErr w:type="spellStart"/>
      <w:r w:rsidRPr="00455398">
        <w:rPr>
          <w:i/>
          <w:sz w:val="18"/>
          <w:szCs w:val="18"/>
          <w:lang w:val="en-US"/>
        </w:rPr>
        <w:t>CrystEngComm</w:t>
      </w:r>
      <w:proofErr w:type="spellEnd"/>
      <w:r w:rsidRPr="00455398">
        <w:rPr>
          <w:i/>
          <w:sz w:val="18"/>
          <w:szCs w:val="18"/>
          <w:lang w:val="en-US"/>
        </w:rPr>
        <w:t>,</w:t>
      </w:r>
      <w:r w:rsidRPr="00455398">
        <w:rPr>
          <w:sz w:val="18"/>
          <w:szCs w:val="18"/>
          <w:lang w:val="en-US"/>
        </w:rPr>
        <w:t xml:space="preserve"> </w:t>
      </w:r>
      <w:r w:rsidRPr="00455398">
        <w:rPr>
          <w:b/>
          <w:sz w:val="18"/>
          <w:szCs w:val="18"/>
          <w:lang w:val="en-US"/>
        </w:rPr>
        <w:t>16</w:t>
      </w:r>
      <w:r w:rsidRPr="00455398">
        <w:rPr>
          <w:sz w:val="18"/>
          <w:szCs w:val="18"/>
          <w:lang w:val="en-US"/>
        </w:rPr>
        <w:t xml:space="preserve">, 3451. </w:t>
      </w:r>
    </w:p>
    <w:p w:rsidR="00455398" w:rsidRPr="00455398" w:rsidRDefault="00455398" w:rsidP="00455398">
      <w:pPr>
        <w:pStyle w:val="Tekstpodstawowy2"/>
        <w:tabs>
          <w:tab w:val="left" w:pos="360"/>
        </w:tabs>
        <w:spacing w:line="240" w:lineRule="auto"/>
        <w:rPr>
          <w:rStyle w:val="FontStyle16"/>
          <w:sz w:val="18"/>
          <w:szCs w:val="18"/>
          <w:lang w:val="en-US"/>
        </w:rPr>
      </w:pPr>
      <w:r w:rsidRPr="009E6B2F">
        <w:rPr>
          <w:sz w:val="18"/>
          <w:szCs w:val="18"/>
          <w:lang w:val="en-US"/>
        </w:rPr>
        <w:t xml:space="preserve">[2] </w:t>
      </w:r>
      <w:proofErr w:type="spellStart"/>
      <w:r w:rsidRPr="009E6B2F">
        <w:rPr>
          <w:sz w:val="18"/>
          <w:szCs w:val="18"/>
          <w:lang w:val="en-US"/>
        </w:rPr>
        <w:t>Saikia</w:t>
      </w:r>
      <w:proofErr w:type="spellEnd"/>
      <w:r w:rsidRPr="009E6B2F">
        <w:rPr>
          <w:sz w:val="18"/>
          <w:szCs w:val="18"/>
          <w:lang w:val="en-US"/>
        </w:rPr>
        <w:t xml:space="preserve">, B., Pathak, D., </w:t>
      </w:r>
      <w:proofErr w:type="spellStart"/>
      <w:r w:rsidRPr="009E6B2F">
        <w:rPr>
          <w:sz w:val="18"/>
          <w:szCs w:val="18"/>
          <w:lang w:val="en-US"/>
        </w:rPr>
        <w:t>Sarma</w:t>
      </w:r>
      <w:proofErr w:type="spellEnd"/>
      <w:r w:rsidRPr="009E6B2F">
        <w:rPr>
          <w:sz w:val="18"/>
          <w:szCs w:val="18"/>
          <w:lang w:val="en-US"/>
        </w:rPr>
        <w:t>, B.</w:t>
      </w:r>
      <w:r w:rsidRPr="009E6B2F">
        <w:rPr>
          <w:i/>
          <w:sz w:val="18"/>
          <w:szCs w:val="18"/>
          <w:lang w:val="en-US"/>
        </w:rPr>
        <w:t xml:space="preserve"> </w:t>
      </w:r>
      <w:r w:rsidRPr="009E6B2F">
        <w:rPr>
          <w:sz w:val="18"/>
          <w:szCs w:val="18"/>
          <w:lang w:val="en-US"/>
        </w:rPr>
        <w:t xml:space="preserve">(2021). </w:t>
      </w:r>
      <w:proofErr w:type="spellStart"/>
      <w:r w:rsidRPr="00455398">
        <w:rPr>
          <w:i/>
          <w:sz w:val="18"/>
          <w:szCs w:val="18"/>
          <w:lang w:val="en-US"/>
        </w:rPr>
        <w:t>CrystEngComm</w:t>
      </w:r>
      <w:proofErr w:type="spellEnd"/>
      <w:r w:rsidRPr="00455398">
        <w:rPr>
          <w:i/>
          <w:sz w:val="18"/>
          <w:szCs w:val="18"/>
          <w:lang w:val="en-US"/>
        </w:rPr>
        <w:t>,</w:t>
      </w:r>
      <w:r w:rsidRPr="00455398">
        <w:rPr>
          <w:sz w:val="18"/>
          <w:szCs w:val="18"/>
          <w:lang w:val="en-US"/>
        </w:rPr>
        <w:t xml:space="preserve"> </w:t>
      </w:r>
      <w:r w:rsidRPr="00455398">
        <w:rPr>
          <w:b/>
          <w:sz w:val="18"/>
          <w:szCs w:val="18"/>
          <w:lang w:val="en-US"/>
        </w:rPr>
        <w:t>23</w:t>
      </w:r>
      <w:r w:rsidRPr="00455398">
        <w:rPr>
          <w:sz w:val="18"/>
          <w:szCs w:val="18"/>
          <w:lang w:val="en-US"/>
        </w:rPr>
        <w:t>, 4583.</w:t>
      </w:r>
    </w:p>
    <w:p w:rsidR="00455398" w:rsidRPr="00455398" w:rsidRDefault="00455398" w:rsidP="00455398">
      <w:pPr>
        <w:rPr>
          <w:sz w:val="18"/>
          <w:szCs w:val="18"/>
          <w:lang w:eastAsia="cs-CZ"/>
        </w:rPr>
      </w:pPr>
      <w:r w:rsidRPr="00455398">
        <w:rPr>
          <w:sz w:val="18"/>
          <w:szCs w:val="18"/>
          <w:lang w:eastAsia="cs-CZ"/>
        </w:rPr>
        <w:t xml:space="preserve">[3] </w:t>
      </w:r>
      <w:proofErr w:type="spellStart"/>
      <w:r w:rsidRPr="00455398">
        <w:rPr>
          <w:sz w:val="18"/>
          <w:szCs w:val="18"/>
          <w:shd w:val="clear" w:color="auto" w:fill="FFFFFF"/>
        </w:rPr>
        <w:t>Winblad</w:t>
      </w:r>
      <w:proofErr w:type="spellEnd"/>
      <w:r w:rsidRPr="00455398">
        <w:rPr>
          <w:sz w:val="18"/>
          <w:szCs w:val="18"/>
          <w:shd w:val="clear" w:color="auto" w:fill="FFFFFF"/>
        </w:rPr>
        <w:t xml:space="preserve"> B. (2005). </w:t>
      </w:r>
      <w:r w:rsidRPr="00455398">
        <w:rPr>
          <w:i/>
          <w:iCs/>
          <w:sz w:val="18"/>
          <w:szCs w:val="18"/>
          <w:shd w:val="clear" w:color="auto" w:fill="FFFFFF"/>
        </w:rPr>
        <w:t>CNS Drug Reviews</w:t>
      </w:r>
      <w:r w:rsidRPr="00455398">
        <w:rPr>
          <w:sz w:val="18"/>
          <w:szCs w:val="18"/>
          <w:shd w:val="clear" w:color="auto" w:fill="FFFFFF"/>
        </w:rPr>
        <w:t>, </w:t>
      </w:r>
      <w:r w:rsidRPr="00455398">
        <w:rPr>
          <w:b/>
          <w:bCs/>
          <w:sz w:val="18"/>
          <w:szCs w:val="18"/>
          <w:shd w:val="clear" w:color="auto" w:fill="FFFFFF"/>
        </w:rPr>
        <w:t>11</w:t>
      </w:r>
      <w:r w:rsidRPr="00455398">
        <w:rPr>
          <w:sz w:val="18"/>
          <w:szCs w:val="18"/>
          <w:shd w:val="clear" w:color="auto" w:fill="FFFFFF"/>
        </w:rPr>
        <w:t>(2), 169.</w:t>
      </w:r>
    </w:p>
    <w:p w:rsidR="00455398" w:rsidRDefault="00455398" w:rsidP="00455398">
      <w:pPr>
        <w:rPr>
          <w:sz w:val="18"/>
          <w:szCs w:val="18"/>
          <w:lang w:eastAsia="cs-CZ"/>
        </w:rPr>
      </w:pPr>
      <w:r w:rsidRPr="00455398">
        <w:rPr>
          <w:sz w:val="18"/>
          <w:szCs w:val="18"/>
          <w:lang w:eastAsia="cs-CZ"/>
        </w:rPr>
        <w:t>[4] Upadhyay P.</w:t>
      </w:r>
      <w:r>
        <w:rPr>
          <w:sz w:val="18"/>
          <w:szCs w:val="18"/>
          <w:lang w:eastAsia="cs-CZ"/>
        </w:rPr>
        <w:t xml:space="preserve"> </w:t>
      </w:r>
      <w:r w:rsidRPr="00455398">
        <w:rPr>
          <w:sz w:val="18"/>
          <w:szCs w:val="18"/>
          <w:lang w:eastAsia="cs-CZ"/>
        </w:rPr>
        <w:t>P., Mishra, M.</w:t>
      </w:r>
      <w:r>
        <w:rPr>
          <w:sz w:val="18"/>
          <w:szCs w:val="18"/>
          <w:lang w:eastAsia="cs-CZ"/>
        </w:rPr>
        <w:t xml:space="preserve"> </w:t>
      </w:r>
      <w:r w:rsidRPr="00455398">
        <w:rPr>
          <w:sz w:val="18"/>
          <w:szCs w:val="18"/>
          <w:lang w:eastAsia="cs-CZ"/>
        </w:rPr>
        <w:t xml:space="preserve">K., </w:t>
      </w:r>
      <w:proofErr w:type="spellStart"/>
      <w:r w:rsidRPr="00455398">
        <w:rPr>
          <w:sz w:val="18"/>
          <w:szCs w:val="18"/>
          <w:lang w:eastAsia="cs-CZ"/>
        </w:rPr>
        <w:t>Ramamurty</w:t>
      </w:r>
      <w:proofErr w:type="spellEnd"/>
      <w:r w:rsidRPr="00455398">
        <w:rPr>
          <w:sz w:val="18"/>
          <w:szCs w:val="18"/>
          <w:lang w:eastAsia="cs-CZ"/>
        </w:rPr>
        <w:t>, U., Bond, A.</w:t>
      </w:r>
      <w:r>
        <w:rPr>
          <w:sz w:val="18"/>
          <w:szCs w:val="18"/>
          <w:lang w:eastAsia="cs-CZ"/>
        </w:rPr>
        <w:t xml:space="preserve"> </w:t>
      </w:r>
      <w:r w:rsidRPr="00455398">
        <w:rPr>
          <w:sz w:val="18"/>
          <w:szCs w:val="18"/>
          <w:lang w:eastAsia="cs-CZ"/>
        </w:rPr>
        <w:t xml:space="preserve">D. (2021). </w:t>
      </w:r>
      <w:proofErr w:type="spellStart"/>
      <w:r w:rsidRPr="00455398">
        <w:rPr>
          <w:i/>
          <w:sz w:val="18"/>
          <w:szCs w:val="18"/>
          <w:lang w:eastAsia="cs-CZ"/>
        </w:rPr>
        <w:t>CrystEngComm</w:t>
      </w:r>
      <w:proofErr w:type="spellEnd"/>
      <w:r w:rsidRPr="00455398">
        <w:rPr>
          <w:sz w:val="18"/>
          <w:szCs w:val="18"/>
          <w:lang w:eastAsia="cs-CZ"/>
        </w:rPr>
        <w:t xml:space="preserve">, </w:t>
      </w:r>
      <w:r w:rsidRPr="00455398">
        <w:rPr>
          <w:b/>
          <w:sz w:val="18"/>
          <w:szCs w:val="18"/>
          <w:lang w:eastAsia="cs-CZ"/>
        </w:rPr>
        <w:t>23</w:t>
      </w:r>
      <w:r w:rsidRPr="00455398">
        <w:rPr>
          <w:sz w:val="18"/>
          <w:szCs w:val="18"/>
          <w:lang w:eastAsia="cs-CZ"/>
        </w:rPr>
        <w:t>, 1226.</w:t>
      </w:r>
    </w:p>
    <w:p w:rsidR="00455398" w:rsidRPr="00455398" w:rsidRDefault="00455398" w:rsidP="00455398">
      <w:pPr>
        <w:rPr>
          <w:sz w:val="18"/>
          <w:szCs w:val="18"/>
          <w:lang w:eastAsia="cs-CZ"/>
        </w:rPr>
      </w:pPr>
    </w:p>
    <w:sectPr w:rsidR="00455398" w:rsidRPr="00455398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BBF" w:rsidRDefault="002142E9">
      <w:pPr>
        <w:spacing w:after="0"/>
      </w:pPr>
      <w:r>
        <w:separator/>
      </w:r>
    </w:p>
  </w:endnote>
  <w:endnote w:type="continuationSeparator" w:id="0">
    <w:p w:rsidR="00451BBF" w:rsidRDefault="002142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61A" w:rsidRDefault="002142E9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83661A" w:rsidRDefault="0083661A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BBF" w:rsidRDefault="002142E9">
      <w:pPr>
        <w:spacing w:after="0"/>
      </w:pPr>
      <w:r>
        <w:separator/>
      </w:r>
    </w:p>
  </w:footnote>
  <w:footnote w:type="continuationSeparator" w:id="0">
    <w:p w:rsidR="00451BBF" w:rsidRDefault="002142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61A" w:rsidRDefault="002142E9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1A"/>
    <w:rsid w:val="00083F90"/>
    <w:rsid w:val="00124204"/>
    <w:rsid w:val="001312E1"/>
    <w:rsid w:val="001C4248"/>
    <w:rsid w:val="001D1248"/>
    <w:rsid w:val="002142E9"/>
    <w:rsid w:val="003111D5"/>
    <w:rsid w:val="00451BBF"/>
    <w:rsid w:val="00455398"/>
    <w:rsid w:val="00537215"/>
    <w:rsid w:val="005A5431"/>
    <w:rsid w:val="00602261"/>
    <w:rsid w:val="006A7732"/>
    <w:rsid w:val="0083661A"/>
    <w:rsid w:val="0090051D"/>
    <w:rsid w:val="009E6B2F"/>
    <w:rsid w:val="00A40FCA"/>
    <w:rsid w:val="00DA2DCC"/>
    <w:rsid w:val="00E15D85"/>
    <w:rsid w:val="00E449B3"/>
    <w:rsid w:val="00E84E39"/>
    <w:rsid w:val="00F5786E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6624"/>
  <w15:docId w15:val="{53D37EAD-6E97-4B52-A6EF-14D7B7F1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1312E1"/>
    <w:rPr>
      <w:rFonts w:ascii="Times New Roman" w:hAnsi="Times New Roman" w:cs="Times New Roman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5539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55398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D185D-16C5-4CAC-8EAA-98190265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Liliana Mazur</cp:lastModifiedBy>
  <cp:revision>7</cp:revision>
  <dcterms:created xsi:type="dcterms:W3CDTF">2025-05-06T15:15:00Z</dcterms:created>
  <dcterms:modified xsi:type="dcterms:W3CDTF">2025-05-10T19:02:00Z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