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2FD1" w14:textId="3B2D65F3" w:rsidR="00E15898" w:rsidRDefault="009529AC">
      <w:pPr>
        <w:pStyle w:val="Heading1"/>
      </w:pPr>
      <w:r>
        <w:t>Liquid p</w:t>
      </w:r>
      <w:r w:rsidR="00E01BE7">
        <w:t xml:space="preserve">ressure-transmitting media inhibit pressure-induced dehydration and subsequent crystallisation of amorphous calcium carbonate </w:t>
      </w:r>
    </w:p>
    <w:p w14:paraId="44183087" w14:textId="42CD6AF2" w:rsidR="00E15898" w:rsidRDefault="00E01BE7">
      <w:pPr>
        <w:pStyle w:val="Heading2"/>
      </w:pPr>
      <w:r>
        <w:t xml:space="preserve">Chiho Morita, </w:t>
      </w:r>
      <w:r w:rsidR="009E4758" w:rsidRPr="00D82640">
        <w:rPr>
          <w:u w:val="single"/>
        </w:rPr>
        <w:t>Hiroki Kobayashi</w:t>
      </w:r>
      <w:r w:rsidR="009E4758">
        <w:rPr>
          <w:vertAlign w:val="superscript"/>
        </w:rPr>
        <w:t>*</w:t>
      </w:r>
      <w:r w:rsidR="009E4758" w:rsidRPr="009E4758">
        <w:t xml:space="preserve">, </w:t>
      </w:r>
      <w:r>
        <w:t>and Hiroyuki Kagi</w:t>
      </w:r>
    </w:p>
    <w:p w14:paraId="6F0A8F72" w14:textId="1E89D100" w:rsidR="00E15898" w:rsidRPr="00475A14" w:rsidRDefault="00475A14">
      <w:pPr>
        <w:pStyle w:val="Heading3"/>
        <w:rPr>
          <w:lang w:val="en-US"/>
        </w:rPr>
      </w:pPr>
      <w:r>
        <w:t>Geochemical Research Cent</w:t>
      </w:r>
      <w:r w:rsidR="002077B8">
        <w:t>er</w:t>
      </w:r>
      <w:r>
        <w:t xml:space="preserve">, Graduate School of Science, </w:t>
      </w:r>
      <w:r w:rsidR="003753E7">
        <w:t>T</w:t>
      </w:r>
      <w:r>
        <w:t xml:space="preserve">he University of Tokyo, 7-3-1, Hongo, Bunkyo, Tokyo, 113-0033, Japan. </w:t>
      </w:r>
    </w:p>
    <w:p w14:paraId="032DF18B" w14:textId="4C25361C" w:rsidR="00E15898" w:rsidRDefault="000E3FED">
      <w:pPr>
        <w:pStyle w:val="Heading3"/>
        <w:rPr>
          <w:sz w:val="18"/>
          <w:szCs w:val="18"/>
        </w:rPr>
      </w:pPr>
      <w:r>
        <w:t>*</w:t>
      </w:r>
      <w:hyperlink r:id="rId7" w:history="1">
        <w:r w:rsidRPr="004505DD">
          <w:rPr>
            <w:rStyle w:val="Hyperlink"/>
          </w:rPr>
          <w:t>hiroki@eqchem.s.u-tokyo.ac.jp</w:t>
        </w:r>
      </w:hyperlink>
      <w:r>
        <w:rPr>
          <w:lang w:eastAsia="de-DE"/>
        </w:rPr>
        <w:br/>
      </w:r>
    </w:p>
    <w:p w14:paraId="79C95DBC" w14:textId="616AD24A" w:rsidR="0059187B" w:rsidRDefault="00030418">
      <w:r>
        <w:t>Calcium carbonate (CaCO</w:t>
      </w:r>
      <w:r w:rsidRPr="00030418">
        <w:rPr>
          <w:vertAlign w:val="subscript"/>
        </w:rPr>
        <w:t>3</w:t>
      </w:r>
      <w:r>
        <w:t xml:space="preserve">) has a complex phase diagram involving many high-pressure variants of calcite and aragonite. </w:t>
      </w:r>
      <w:r w:rsidR="00DA39C5">
        <w:t>Amorphous calcium carbonate (ACC) is a non-crystalline form of hydrated calcium carbonate (CaCO</w:t>
      </w:r>
      <w:r w:rsidR="00DA39C5" w:rsidRPr="00030418">
        <w:rPr>
          <w:vertAlign w:val="subscript"/>
        </w:rPr>
        <w:t>3</w:t>
      </w:r>
      <w:r w:rsidR="00DA39C5">
        <w:rPr>
          <w:vertAlign w:val="subscript"/>
        </w:rPr>
        <w:t xml:space="preserve"> </w:t>
      </w:r>
      <w:r w:rsidR="00DA39C5" w:rsidRPr="00DA39C5">
        <w:t xml:space="preserve">• </w:t>
      </w:r>
      <w:r w:rsidR="00DA39C5" w:rsidRPr="00DA39C5">
        <w:rPr>
          <w:i/>
          <w:iCs/>
        </w:rPr>
        <w:t>n</w:t>
      </w:r>
      <w:r w:rsidR="00DA39C5" w:rsidRPr="00DA39C5">
        <w:t xml:space="preserve"> H</w:t>
      </w:r>
      <w:r w:rsidR="00DA39C5" w:rsidRPr="00DA39C5">
        <w:rPr>
          <w:vertAlign w:val="subscript"/>
        </w:rPr>
        <w:t>2</w:t>
      </w:r>
      <w:r w:rsidR="00DA39C5" w:rsidRPr="00DA39C5">
        <w:t>O</w:t>
      </w:r>
      <w:r w:rsidR="00DA39C5">
        <w:t xml:space="preserve">; typically </w:t>
      </w:r>
      <w:r w:rsidR="00DA39C5" w:rsidRPr="00DA39C5">
        <w:rPr>
          <w:i/>
          <w:iCs/>
        </w:rPr>
        <w:t>n</w:t>
      </w:r>
      <w:r w:rsidR="00DA39C5">
        <w:t xml:space="preserve"> &lt; 1.5).</w:t>
      </w:r>
      <w:r w:rsidR="00E15B01">
        <w:t xml:space="preserve"> </w:t>
      </w:r>
      <w:r w:rsidR="00331B3A">
        <w:t xml:space="preserve">It has been reported that </w:t>
      </w:r>
      <w:r w:rsidR="00E15B01">
        <w:t>ACC can be crystallised into anhydrous polymorphs by applying pressure</w:t>
      </w:r>
      <w:r w:rsidR="00BE4246">
        <w:t>s</w:t>
      </w:r>
      <w:r w:rsidR="00904401">
        <w:t xml:space="preserve"> of 0.2</w:t>
      </w:r>
      <w:r w:rsidR="00AE3364">
        <w:t>–0.6</w:t>
      </w:r>
      <w:r w:rsidR="00EB0A98">
        <w:t>4</w:t>
      </w:r>
      <w:r w:rsidR="00904401">
        <w:t xml:space="preserve"> GPa [1–3]</w:t>
      </w:r>
      <w:r w:rsidR="00E15B01">
        <w:t>.</w:t>
      </w:r>
      <w:r w:rsidR="00151FD3">
        <w:t xml:space="preserve"> However, </w:t>
      </w:r>
      <w:r w:rsidR="003753E7">
        <w:t>more</w:t>
      </w:r>
      <w:r w:rsidR="009449FE">
        <w:t xml:space="preserve"> </w:t>
      </w:r>
      <w:r w:rsidR="00904401">
        <w:t xml:space="preserve">recent </w:t>
      </w:r>
      <w:r w:rsidR="009449FE">
        <w:t xml:space="preserve">studies reported </w:t>
      </w:r>
      <w:r w:rsidR="009F5549">
        <w:t xml:space="preserve">no crystallisation </w:t>
      </w:r>
      <w:r w:rsidR="003753E7">
        <w:t>even at ~</w:t>
      </w:r>
      <w:r w:rsidR="009F5549">
        <w:t>20 GPa</w:t>
      </w:r>
      <w:r w:rsidR="00904401">
        <w:t xml:space="preserve"> [4,5].</w:t>
      </w:r>
      <w:r w:rsidR="009F5549">
        <w:t xml:space="preserve"> </w:t>
      </w:r>
      <w:r w:rsidR="0059187B">
        <w:t xml:space="preserve">In this study, we </w:t>
      </w:r>
      <w:r w:rsidR="003753E7">
        <w:t>investigated</w:t>
      </w:r>
      <w:r w:rsidR="003F0AA7">
        <w:t xml:space="preserve"> the </w:t>
      </w:r>
      <w:r w:rsidR="003753E7">
        <w:t>role</w:t>
      </w:r>
      <w:r w:rsidR="003F0AA7">
        <w:t xml:space="preserve"> of pressure-transmitting media (PTM) </w:t>
      </w:r>
      <w:r w:rsidR="003753E7">
        <w:t xml:space="preserve">on the pressure-induced crystallisation of ACC by </w:t>
      </w:r>
      <w:r w:rsidR="009B0701" w:rsidRPr="009B0701">
        <w:rPr>
          <w:i/>
          <w:iCs/>
        </w:rPr>
        <w:t>in-situ</w:t>
      </w:r>
      <w:r w:rsidR="009B0701">
        <w:t xml:space="preserve"> x-ray diffraction experiments</w:t>
      </w:r>
      <w:r w:rsidR="0059187B">
        <w:t xml:space="preserve">. </w:t>
      </w:r>
    </w:p>
    <w:p w14:paraId="0EB335FC" w14:textId="46BD09D5" w:rsidR="006251B4" w:rsidRDefault="004A246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ADB0B" wp14:editId="170F6F12">
                <wp:simplePos x="0" y="0"/>
                <wp:positionH relativeFrom="column">
                  <wp:posOffset>3352800</wp:posOffset>
                </wp:positionH>
                <wp:positionV relativeFrom="paragraph">
                  <wp:posOffset>1270</wp:posOffset>
                </wp:positionV>
                <wp:extent cx="3519170" cy="2977515"/>
                <wp:effectExtent l="0" t="0" r="1143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97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C4A9C" w14:textId="65F32165" w:rsidR="00437F09" w:rsidRPr="00D2620D" w:rsidRDefault="00437F09" w:rsidP="00437F09">
                            <w:pPr>
                              <w:pStyle w:val="Heading6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38FBE" wp14:editId="57BCAC8C">
                                  <wp:extent cx="3363711" cy="2264215"/>
                                  <wp:effectExtent l="0" t="0" r="190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3711" cy="2264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7F0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Figure 1</w:t>
                            </w:r>
                            <w:r>
                              <w:t xml:space="preserve">. </w:t>
                            </w:r>
                            <w:r w:rsidRPr="00082866">
                              <w:rPr>
                                <w:b/>
                                <w:bCs w:val="0"/>
                              </w:rPr>
                              <w:t>a</w:t>
                            </w:r>
                            <w:r>
                              <w:t xml:space="preserve">, X-ray diffraction profiles of ACC compressed without PTM. </w:t>
                            </w:r>
                            <w:r w:rsidRPr="00082866">
                              <w:rPr>
                                <w:b/>
                                <w:bCs w:val="0"/>
                              </w:rPr>
                              <w:t>b</w:t>
                            </w:r>
                            <w:r>
                              <w:t xml:space="preserve">, X-ray diffraction profiles of ACC compressed with the Daphne 7373 PTM. </w:t>
                            </w:r>
                            <w:r w:rsidR="00D2620D">
                              <w:rPr>
                                <w:lang w:val="en-US"/>
                              </w:rPr>
                              <w:t>The broad feature shifting from ~7 to ~9 deg. is a Halo peak of Daphne 7373.</w:t>
                            </w:r>
                          </w:p>
                          <w:p w14:paraId="31703B99" w14:textId="58E73815" w:rsidR="00437F09" w:rsidRDefault="00437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B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pt;margin-top:.1pt;width:277.1pt;height:2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" fillcolor="white [3201]" strokeweight=".5pt">
                <v:textbox>
                  <w:txbxContent>
                    <w:p w14:paraId="7A9C4A9C" w14:textId="65F32165" w:rsidR="00437F09" w:rsidRPr="00D2620D" w:rsidRDefault="00437F09" w:rsidP="00437F09">
                      <w:pPr>
                        <w:pStyle w:val="Heading6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B38FBE" wp14:editId="57BCAC8C">
                            <wp:extent cx="3363711" cy="2264215"/>
                            <wp:effectExtent l="0" t="0" r="190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3711" cy="2264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7F0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Figure 1</w:t>
                      </w:r>
                      <w:r>
                        <w:t xml:space="preserve">. </w:t>
                      </w:r>
                      <w:r w:rsidRPr="00082866">
                        <w:rPr>
                          <w:b/>
                          <w:bCs w:val="0"/>
                        </w:rPr>
                        <w:t>a</w:t>
                      </w:r>
                      <w:r>
                        <w:t xml:space="preserve">, X-ray diffraction profiles of ACC compressed without PTM. </w:t>
                      </w:r>
                      <w:r w:rsidRPr="00082866">
                        <w:rPr>
                          <w:b/>
                          <w:bCs w:val="0"/>
                        </w:rPr>
                        <w:t>b</w:t>
                      </w:r>
                      <w:r>
                        <w:t xml:space="preserve">, X-ray diffraction profiles of ACC compressed with the Daphne 7373 PTM. </w:t>
                      </w:r>
                      <w:r w:rsidR="00D2620D">
                        <w:rPr>
                          <w:lang w:val="en-US"/>
                        </w:rPr>
                        <w:t>The broad feature shifting from ~7 to ~9 deg. is a Halo peak of Daphne 7373.</w:t>
                      </w:r>
                    </w:p>
                    <w:p w14:paraId="31703B99" w14:textId="58E73815" w:rsidR="00437F09" w:rsidRDefault="00437F09"/>
                  </w:txbxContent>
                </v:textbox>
                <w10:wrap type="square"/>
              </v:shape>
            </w:pict>
          </mc:Fallback>
        </mc:AlternateContent>
      </w:r>
      <w:r w:rsidR="006251B4">
        <w:rPr>
          <w:b/>
          <w:bCs/>
        </w:rPr>
        <w:t>Fig.</w:t>
      </w:r>
      <w:r w:rsidR="006251B4" w:rsidRPr="006251B4">
        <w:rPr>
          <w:b/>
          <w:bCs/>
        </w:rPr>
        <w:t xml:space="preserve"> 1a</w:t>
      </w:r>
      <w:r w:rsidR="006251B4">
        <w:t xml:space="preserve"> s</w:t>
      </w:r>
      <w:r w:rsidR="0083657A">
        <w:t xml:space="preserve">ummarises </w:t>
      </w:r>
      <w:r w:rsidR="007B0621">
        <w:t xml:space="preserve">the structural changes of ACC </w:t>
      </w:r>
      <w:r w:rsidR="00EE763F">
        <w:t>(CaCO</w:t>
      </w:r>
      <w:r w:rsidR="00EE763F" w:rsidRPr="00030418">
        <w:rPr>
          <w:vertAlign w:val="subscript"/>
        </w:rPr>
        <w:t>3</w:t>
      </w:r>
      <w:r w:rsidR="00EE763F">
        <w:rPr>
          <w:vertAlign w:val="subscript"/>
        </w:rPr>
        <w:t xml:space="preserve"> </w:t>
      </w:r>
      <w:r w:rsidR="00EE763F" w:rsidRPr="00DA39C5">
        <w:t xml:space="preserve">• </w:t>
      </w:r>
      <w:r w:rsidR="00EE763F" w:rsidRPr="00EE763F">
        <w:t>1.3</w:t>
      </w:r>
      <w:r w:rsidR="00EE763F" w:rsidRPr="00DA39C5">
        <w:t xml:space="preserve"> H</w:t>
      </w:r>
      <w:r w:rsidR="00EE763F" w:rsidRPr="00DA39C5">
        <w:rPr>
          <w:vertAlign w:val="subscript"/>
        </w:rPr>
        <w:t>2</w:t>
      </w:r>
      <w:r w:rsidR="00EE763F" w:rsidRPr="00DA39C5">
        <w:t>O</w:t>
      </w:r>
      <w:r w:rsidR="00EE763F">
        <w:t xml:space="preserve">) </w:t>
      </w:r>
      <w:r w:rsidR="007B0621">
        <w:t xml:space="preserve">compressed </w:t>
      </w:r>
      <w:r w:rsidR="003B308C">
        <w:t xml:space="preserve">in a </w:t>
      </w:r>
      <w:r w:rsidR="001C20CE">
        <w:t>diamond anvil cell (DAC)</w:t>
      </w:r>
      <w:r w:rsidR="003B308C">
        <w:t xml:space="preserve"> </w:t>
      </w:r>
      <w:r w:rsidR="007B0621">
        <w:t>without any PTM.</w:t>
      </w:r>
      <w:r w:rsidR="00313546">
        <w:t xml:space="preserve"> </w:t>
      </w:r>
      <w:r w:rsidR="00746089">
        <w:rPr>
          <w:lang w:eastAsia="ja-JP"/>
        </w:rPr>
        <w:t>A</w:t>
      </w:r>
      <w:r w:rsidR="00746089">
        <w:rPr>
          <w:lang w:val="en-US" w:eastAsia="ja-JP"/>
        </w:rPr>
        <w:t>CC</w:t>
      </w:r>
      <w:r w:rsidR="00313546">
        <w:t xml:space="preserve"> first crystallised into a mixture of calcite and vaterite, </w:t>
      </w:r>
      <w:r w:rsidR="001819F9">
        <w:t>followed by vaterite-to-calcite transition, the formation of ikite (</w:t>
      </w:r>
      <w:r w:rsidR="00D10C3F">
        <w:t>CaCO</w:t>
      </w:r>
      <w:r w:rsidR="00D10C3F" w:rsidRPr="00030418">
        <w:rPr>
          <w:vertAlign w:val="subscript"/>
        </w:rPr>
        <w:t>3</w:t>
      </w:r>
      <w:r w:rsidR="00D10C3F">
        <w:rPr>
          <w:vertAlign w:val="subscript"/>
        </w:rPr>
        <w:t xml:space="preserve"> </w:t>
      </w:r>
      <w:r w:rsidR="00D10C3F">
        <w:t>• 6 H</w:t>
      </w:r>
      <w:r w:rsidR="00D10C3F" w:rsidRPr="00D10C3F">
        <w:rPr>
          <w:vertAlign w:val="subscript"/>
        </w:rPr>
        <w:t>2</w:t>
      </w:r>
      <w:r w:rsidR="00D10C3F">
        <w:t>O</w:t>
      </w:r>
      <w:r w:rsidR="001819F9">
        <w:t>), and the phase transit</w:t>
      </w:r>
      <w:r w:rsidR="00D10C3F">
        <w:t>i</w:t>
      </w:r>
      <w:r w:rsidR="001819F9">
        <w:t xml:space="preserve">on of calcite into a high-pressure </w:t>
      </w:r>
      <w:r w:rsidR="001674FE">
        <w:t>phase</w:t>
      </w:r>
      <w:r w:rsidR="001819F9">
        <w:t xml:space="preserve"> called calcite-II. </w:t>
      </w:r>
      <w:r w:rsidR="00126691">
        <w:t xml:space="preserve">On the other hand, </w:t>
      </w:r>
      <w:r w:rsidR="00F079AA">
        <w:t xml:space="preserve">no </w:t>
      </w:r>
      <w:r w:rsidR="00126691">
        <w:t xml:space="preserve">pressure-induced crystallisation was </w:t>
      </w:r>
      <w:r w:rsidR="00F079AA">
        <w:t>observed</w:t>
      </w:r>
      <w:r w:rsidR="00126691">
        <w:t xml:space="preserve"> when ACC was dehydrated</w:t>
      </w:r>
      <w:r w:rsidR="00F079AA">
        <w:t xml:space="preserve"> in advance by heating</w:t>
      </w:r>
      <w:r w:rsidR="00C85E16">
        <w:t xml:space="preserve"> </w:t>
      </w:r>
      <w:r w:rsidR="003B4272">
        <w:t>(</w:t>
      </w:r>
      <w:r w:rsidR="00F079AA">
        <w:t xml:space="preserve">yielding </w:t>
      </w:r>
      <w:r w:rsidR="00C85E16">
        <w:t>CaCO</w:t>
      </w:r>
      <w:r w:rsidR="00C85E16" w:rsidRPr="00030418">
        <w:rPr>
          <w:vertAlign w:val="subscript"/>
        </w:rPr>
        <w:t>3</w:t>
      </w:r>
      <w:r w:rsidR="00C85E16">
        <w:rPr>
          <w:vertAlign w:val="subscript"/>
        </w:rPr>
        <w:t xml:space="preserve"> </w:t>
      </w:r>
      <w:r w:rsidR="00C85E16">
        <w:t>• 0.</w:t>
      </w:r>
      <w:r w:rsidR="00644920">
        <w:t>0</w:t>
      </w:r>
      <w:r w:rsidR="00C85E16">
        <w:t xml:space="preserve"> H</w:t>
      </w:r>
      <w:r w:rsidR="00C85E16" w:rsidRPr="00D10C3F">
        <w:rPr>
          <w:vertAlign w:val="subscript"/>
        </w:rPr>
        <w:t>2</w:t>
      </w:r>
      <w:r w:rsidR="00C85E16">
        <w:t>O</w:t>
      </w:r>
      <w:r w:rsidR="003B4272">
        <w:t>)</w:t>
      </w:r>
      <w:r w:rsidR="00AD505C">
        <w:t xml:space="preserve">. These </w:t>
      </w:r>
      <w:r w:rsidR="00F079AA">
        <w:t>results</w:t>
      </w:r>
      <w:r w:rsidR="00AD505C">
        <w:t xml:space="preserve"> revealed that the crystallisation of ACC is triggered by water released from ACC under pressure.</w:t>
      </w:r>
    </w:p>
    <w:p w14:paraId="6A604ED9" w14:textId="1789C944" w:rsidR="009E7DE1" w:rsidRDefault="008A698F">
      <w:r>
        <w:t xml:space="preserve">Next, </w:t>
      </w:r>
      <w:r w:rsidR="00905AD1">
        <w:t xml:space="preserve">ACC was compressed in a liquid PTM, namely Daphne 7373. </w:t>
      </w:r>
      <w:r w:rsidR="006C1E34">
        <w:t xml:space="preserve">Daphne 7373 is a </w:t>
      </w:r>
      <w:r w:rsidR="006C1E34" w:rsidRPr="006C1E34">
        <w:rPr>
          <w:rFonts w:ascii="Calibri" w:hAnsi="Calibri" w:cs="Calibri"/>
        </w:rPr>
        <w:t>﻿</w:t>
      </w:r>
      <w:r w:rsidR="006C1E34" w:rsidRPr="006C1E34">
        <w:t>mixture of several olefine</w:t>
      </w:r>
      <w:r w:rsidR="006C1E34">
        <w:t>s and can be used as a liquid PTM up to 2.2 GPa at room temperature</w:t>
      </w:r>
      <w:r w:rsidR="00F344D7">
        <w:t xml:space="preserve"> [6]</w:t>
      </w:r>
      <w:r w:rsidR="006C1E34">
        <w:t xml:space="preserve">. </w:t>
      </w:r>
      <w:r w:rsidR="00DF2A12">
        <w:t>X-ray diffraction patterns (</w:t>
      </w:r>
      <w:r w:rsidR="00DF2A12" w:rsidRPr="00DF2A12">
        <w:rPr>
          <w:b/>
          <w:bCs/>
        </w:rPr>
        <w:t>Fig. 1</w:t>
      </w:r>
      <w:r w:rsidR="0099457C">
        <w:rPr>
          <w:b/>
          <w:bCs/>
        </w:rPr>
        <w:t>b</w:t>
      </w:r>
      <w:r w:rsidR="00DF2A12" w:rsidRPr="00DF2A12">
        <w:t>)</w:t>
      </w:r>
      <w:r w:rsidR="00DF2A12">
        <w:t xml:space="preserve"> indicate no pressure-induced crystallisation. </w:t>
      </w:r>
      <w:r w:rsidR="00EB138A">
        <w:t xml:space="preserve">This </w:t>
      </w:r>
      <w:r w:rsidR="009A6929">
        <w:t xml:space="preserve">suggests that </w:t>
      </w:r>
      <w:r w:rsidR="00EB138A">
        <w:t xml:space="preserve">the dehydration of ACC, </w:t>
      </w:r>
      <w:r w:rsidR="00B452DA">
        <w:t xml:space="preserve">which occurred </w:t>
      </w:r>
      <w:r w:rsidR="00EB138A">
        <w:t xml:space="preserve">without PTM, was somehow inhibited by the liquid PTM. </w:t>
      </w:r>
      <w:r w:rsidR="00990ECD">
        <w:t>To further corroborate the absence of pressure-induced dehydration,</w:t>
      </w:r>
      <w:r w:rsidR="00050718">
        <w:t xml:space="preserve"> </w:t>
      </w:r>
      <w:r w:rsidR="000600BE">
        <w:t xml:space="preserve">ACC was compressed up to 1.0 GPa </w:t>
      </w:r>
      <w:r w:rsidR="00F63A84">
        <w:t>with Daphne 7373</w:t>
      </w:r>
      <w:r w:rsidR="00FD5240">
        <w:t xml:space="preserve"> </w:t>
      </w:r>
      <w:r w:rsidR="00050718">
        <w:t xml:space="preserve">using a piston-cylinder apparatus </w:t>
      </w:r>
      <w:r w:rsidR="000600BE">
        <w:t>and then recovered to ambient pressure</w:t>
      </w:r>
      <w:r w:rsidR="00050718">
        <w:t xml:space="preserve"> for further characterisation</w:t>
      </w:r>
      <w:r w:rsidR="000600BE">
        <w:t xml:space="preserve">. </w:t>
      </w:r>
      <w:r w:rsidR="003B0F40">
        <w:t>T</w:t>
      </w:r>
      <w:r w:rsidR="00F634B3">
        <w:t>hermogravimetric analysis showed that t</w:t>
      </w:r>
      <w:r w:rsidR="003B0F40">
        <w:t xml:space="preserve">he recovered ACC retained the same amount of </w:t>
      </w:r>
      <w:r w:rsidR="00C415F9">
        <w:t>water as the initial state</w:t>
      </w:r>
      <w:r w:rsidR="001A5EEA">
        <w:t xml:space="preserve">, and infrared absorption spectroscopy showed no changes in the vibration structures, particularly </w:t>
      </w:r>
      <w:r w:rsidR="00913404">
        <w:t xml:space="preserve">the broad </w:t>
      </w:r>
      <w:r w:rsidR="001A5EEA">
        <w:t>O-H stretching bands.</w:t>
      </w:r>
    </w:p>
    <w:p w14:paraId="41E16C92" w14:textId="73DDFA2D" w:rsidR="00465D52" w:rsidRDefault="00465D52">
      <w:r>
        <w:t xml:space="preserve">This study revealed that PTM inhibits the dehydration of ACC, and therefore its crystallisation into anhydrous polymorphs. </w:t>
      </w:r>
      <w:r w:rsidR="009D0E52">
        <w:t xml:space="preserve">As far as we know, this is a novel type of pressure-induced behaviour which can be controlled by changing </w:t>
      </w:r>
      <w:r w:rsidR="00C946FC">
        <w:t xml:space="preserve">the surrounding </w:t>
      </w:r>
      <w:r w:rsidR="009D0E52">
        <w:t>envi</w:t>
      </w:r>
      <w:r w:rsidR="00C946FC">
        <w:t>r</w:t>
      </w:r>
      <w:r w:rsidR="009D0E52">
        <w:t>onment.</w:t>
      </w:r>
    </w:p>
    <w:p w14:paraId="40BB4BE6" w14:textId="131CFB61" w:rsidR="00E15898" w:rsidRDefault="003753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EA171" wp14:editId="2CFC26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t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4E46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" filled="f" stroked="f"/>
            </w:pict>
          </mc:Fallback>
        </mc:AlternateContent>
      </w:r>
    </w:p>
    <w:p w14:paraId="7CDD7D9C" w14:textId="568851F5" w:rsidR="00904401" w:rsidRDefault="00B13229" w:rsidP="00426357">
      <w:pPr>
        <w:widowControl w:val="0"/>
        <w:autoSpaceDE w:val="0"/>
        <w:autoSpaceDN w:val="0"/>
        <w:adjustRightInd w:val="0"/>
        <w:spacing w:before="240"/>
        <w:ind w:left="480" w:hanging="480"/>
        <w:rPr>
          <w:noProof/>
          <w:sz w:val="18"/>
          <w:lang w:val="en-US"/>
        </w:rPr>
      </w:pPr>
      <w:r>
        <w:rPr>
          <w:noProof/>
          <w:sz w:val="18"/>
          <w:lang w:val="en-US"/>
        </w:rPr>
        <w:t xml:space="preserve">[1] </w:t>
      </w:r>
      <w:r w:rsidR="00904401" w:rsidRPr="00904401">
        <w:rPr>
          <w:noProof/>
          <w:sz w:val="18"/>
          <w:lang w:val="en-US"/>
        </w:rPr>
        <w:t xml:space="preserve">Yoshino, T., Maruyama, K., Kagi, H., Nara, M. &amp; Kim, J. C. (2012). </w:t>
      </w:r>
      <w:r w:rsidR="00904401" w:rsidRPr="00904401">
        <w:rPr>
          <w:i/>
          <w:iCs/>
          <w:noProof/>
          <w:sz w:val="18"/>
          <w:lang w:val="en-US"/>
        </w:rPr>
        <w:t>Cryst. Growth Des.</w:t>
      </w:r>
      <w:r w:rsidR="00904401" w:rsidRPr="00904401">
        <w:rPr>
          <w:noProof/>
          <w:sz w:val="18"/>
          <w:lang w:val="en-US"/>
        </w:rPr>
        <w:t xml:space="preserve"> </w:t>
      </w:r>
      <w:r w:rsidR="00904401" w:rsidRPr="00904401">
        <w:rPr>
          <w:b/>
          <w:bCs/>
          <w:noProof/>
          <w:sz w:val="18"/>
          <w:lang w:val="en-US"/>
        </w:rPr>
        <w:t>12</w:t>
      </w:r>
      <w:r w:rsidR="00904401" w:rsidRPr="00904401">
        <w:rPr>
          <w:noProof/>
          <w:sz w:val="18"/>
          <w:lang w:val="en-US"/>
        </w:rPr>
        <w:t>, 3357.</w:t>
      </w:r>
    </w:p>
    <w:p w14:paraId="1FFB15CD" w14:textId="7DDB86DA" w:rsidR="00904401" w:rsidRPr="00904401" w:rsidRDefault="00B13229" w:rsidP="00904401">
      <w:pPr>
        <w:widowControl w:val="0"/>
        <w:autoSpaceDE w:val="0"/>
        <w:autoSpaceDN w:val="0"/>
        <w:adjustRightInd w:val="0"/>
        <w:ind w:left="480" w:hanging="480"/>
        <w:rPr>
          <w:noProof/>
          <w:sz w:val="18"/>
          <w:lang w:val="en-US"/>
        </w:rPr>
      </w:pPr>
      <w:r>
        <w:rPr>
          <w:noProof/>
          <w:sz w:val="18"/>
          <w:lang w:val="en-US"/>
        </w:rPr>
        <w:t xml:space="preserve">[2] </w:t>
      </w:r>
      <w:r w:rsidR="00904401" w:rsidRPr="00904401">
        <w:rPr>
          <w:noProof/>
          <w:sz w:val="18"/>
          <w:lang w:val="en-US"/>
        </w:rPr>
        <w:t xml:space="preserve">Maruyama, K., Kagi, H., Inoue, T., Ohfuji, H. &amp; Yoshino, T. (2015). </w:t>
      </w:r>
      <w:r w:rsidR="00904401" w:rsidRPr="00904401">
        <w:rPr>
          <w:i/>
          <w:iCs/>
          <w:noProof/>
          <w:sz w:val="18"/>
          <w:lang w:val="en-US"/>
        </w:rPr>
        <w:t>Chem. Lett.</w:t>
      </w:r>
      <w:r w:rsidR="00904401" w:rsidRPr="00904401">
        <w:rPr>
          <w:noProof/>
          <w:sz w:val="18"/>
          <w:lang w:val="en-US"/>
        </w:rPr>
        <w:t xml:space="preserve"> </w:t>
      </w:r>
      <w:r w:rsidR="00904401" w:rsidRPr="00904401">
        <w:rPr>
          <w:b/>
          <w:bCs/>
          <w:noProof/>
          <w:sz w:val="18"/>
          <w:lang w:val="en-US"/>
        </w:rPr>
        <w:t>44</w:t>
      </w:r>
      <w:r w:rsidR="00904401" w:rsidRPr="00904401">
        <w:rPr>
          <w:noProof/>
          <w:sz w:val="18"/>
          <w:lang w:val="en-US"/>
        </w:rPr>
        <w:t>, 434.</w:t>
      </w:r>
    </w:p>
    <w:p w14:paraId="4492DA62" w14:textId="2122BB6D" w:rsidR="00904401" w:rsidRPr="00904401" w:rsidRDefault="00B13229" w:rsidP="00904401">
      <w:pPr>
        <w:widowControl w:val="0"/>
        <w:autoSpaceDE w:val="0"/>
        <w:autoSpaceDN w:val="0"/>
        <w:adjustRightInd w:val="0"/>
        <w:ind w:left="480" w:hanging="480"/>
        <w:rPr>
          <w:noProof/>
          <w:sz w:val="18"/>
          <w:lang w:val="en-US"/>
        </w:rPr>
      </w:pPr>
      <w:r>
        <w:rPr>
          <w:noProof/>
          <w:sz w:val="18"/>
          <w:lang w:val="en-US"/>
        </w:rPr>
        <w:t xml:space="preserve">[3] </w:t>
      </w:r>
      <w:r w:rsidR="00904401" w:rsidRPr="00904401">
        <w:rPr>
          <w:noProof/>
          <w:sz w:val="18"/>
          <w:lang w:val="en-US"/>
        </w:rPr>
        <w:t xml:space="preserve">Du, H., Courrégelongue, C., Xto, J., Böhlen, A., Steinacher, M., Borca, C. N., Huthwelker, T. &amp; Amstad, E. (2020). </w:t>
      </w:r>
      <w:r w:rsidR="00904401" w:rsidRPr="00904401">
        <w:rPr>
          <w:i/>
          <w:iCs/>
          <w:noProof/>
          <w:sz w:val="18"/>
          <w:lang w:val="en-US"/>
        </w:rPr>
        <w:t>Chem. Mater.</w:t>
      </w:r>
      <w:r w:rsidR="00904401" w:rsidRPr="00904401">
        <w:rPr>
          <w:noProof/>
          <w:sz w:val="18"/>
          <w:lang w:val="en-US"/>
        </w:rPr>
        <w:t xml:space="preserve"> </w:t>
      </w:r>
      <w:r w:rsidR="00904401" w:rsidRPr="00904401">
        <w:rPr>
          <w:b/>
          <w:bCs/>
          <w:noProof/>
          <w:sz w:val="18"/>
          <w:lang w:val="en-US"/>
        </w:rPr>
        <w:t>32</w:t>
      </w:r>
      <w:r w:rsidR="00904401" w:rsidRPr="00904401">
        <w:rPr>
          <w:noProof/>
          <w:sz w:val="18"/>
          <w:lang w:val="en-US"/>
        </w:rPr>
        <w:t>, 4282.</w:t>
      </w:r>
    </w:p>
    <w:p w14:paraId="50D0B3F2" w14:textId="71FADA6D" w:rsidR="00904401" w:rsidRPr="00904401" w:rsidRDefault="00B13229" w:rsidP="00904401">
      <w:pPr>
        <w:widowControl w:val="0"/>
        <w:autoSpaceDE w:val="0"/>
        <w:autoSpaceDN w:val="0"/>
        <w:adjustRightInd w:val="0"/>
        <w:ind w:left="480" w:hanging="480"/>
        <w:rPr>
          <w:noProof/>
          <w:sz w:val="18"/>
          <w:lang w:val="en-US"/>
        </w:rPr>
      </w:pPr>
      <w:r>
        <w:rPr>
          <w:noProof/>
          <w:sz w:val="18"/>
          <w:lang w:val="en-US"/>
        </w:rPr>
        <w:t xml:space="preserve">[4] </w:t>
      </w:r>
      <w:r w:rsidR="00904401" w:rsidRPr="00904401">
        <w:rPr>
          <w:noProof/>
          <w:sz w:val="18"/>
          <w:lang w:val="en-US"/>
        </w:rPr>
        <w:t xml:space="preserve">Fernandez-Martinez, A., Kalkan, B., Clark, S. M. &amp; Waychunas, G. A. (2013). </w:t>
      </w:r>
      <w:r w:rsidR="00904401" w:rsidRPr="00904401">
        <w:rPr>
          <w:i/>
          <w:iCs/>
          <w:noProof/>
          <w:sz w:val="18"/>
          <w:lang w:val="en-US"/>
        </w:rPr>
        <w:t>Angew. Chemie</w:t>
      </w:r>
      <w:r w:rsidR="00904401" w:rsidRPr="00904401">
        <w:rPr>
          <w:noProof/>
          <w:sz w:val="18"/>
          <w:lang w:val="en-US"/>
        </w:rPr>
        <w:t xml:space="preserve"> </w:t>
      </w:r>
      <w:r w:rsidR="00904401" w:rsidRPr="00904401">
        <w:rPr>
          <w:b/>
          <w:bCs/>
          <w:noProof/>
          <w:sz w:val="18"/>
          <w:lang w:val="en-US"/>
        </w:rPr>
        <w:t>125</w:t>
      </w:r>
      <w:r w:rsidR="00904401" w:rsidRPr="00904401">
        <w:rPr>
          <w:noProof/>
          <w:sz w:val="18"/>
          <w:lang w:val="en-US"/>
        </w:rPr>
        <w:t>, 8512.</w:t>
      </w:r>
    </w:p>
    <w:p w14:paraId="2244DAE7" w14:textId="1E99D9B1" w:rsidR="00E15898" w:rsidRDefault="00B13229" w:rsidP="001B0320">
      <w:pPr>
        <w:widowControl w:val="0"/>
        <w:autoSpaceDE w:val="0"/>
        <w:autoSpaceDN w:val="0"/>
        <w:adjustRightInd w:val="0"/>
        <w:ind w:left="480" w:hanging="480"/>
        <w:rPr>
          <w:noProof/>
          <w:sz w:val="18"/>
          <w:lang w:val="en-US"/>
        </w:rPr>
      </w:pPr>
      <w:r>
        <w:rPr>
          <w:noProof/>
          <w:sz w:val="18"/>
          <w:lang w:val="en-US"/>
        </w:rPr>
        <w:t xml:space="preserve">[5] </w:t>
      </w:r>
      <w:r w:rsidR="00904401" w:rsidRPr="00904401">
        <w:rPr>
          <w:noProof/>
          <w:sz w:val="18"/>
          <w:lang w:val="en-US"/>
        </w:rPr>
        <w:t xml:space="preserve">Pennacchioni, L., Speziale, S., Bayarjargal, L., Schneider, M. &amp; Winkler, B. (2023). </w:t>
      </w:r>
      <w:r w:rsidR="00904401" w:rsidRPr="00904401">
        <w:rPr>
          <w:i/>
          <w:iCs/>
          <w:noProof/>
          <w:sz w:val="18"/>
          <w:lang w:val="en-US"/>
        </w:rPr>
        <w:t>Phys. Earth Planet. Inter.</w:t>
      </w:r>
      <w:r w:rsidR="00904401" w:rsidRPr="00904401">
        <w:rPr>
          <w:noProof/>
          <w:sz w:val="18"/>
          <w:lang w:val="en-US"/>
        </w:rPr>
        <w:t xml:space="preserve"> </w:t>
      </w:r>
      <w:r w:rsidR="00904401" w:rsidRPr="00904401">
        <w:rPr>
          <w:b/>
          <w:bCs/>
          <w:noProof/>
          <w:sz w:val="18"/>
          <w:lang w:val="en-US"/>
        </w:rPr>
        <w:t>336</w:t>
      </w:r>
      <w:r w:rsidR="00904401" w:rsidRPr="00904401">
        <w:rPr>
          <w:noProof/>
          <w:sz w:val="18"/>
          <w:lang w:val="en-US"/>
        </w:rPr>
        <w:t>, 106984.</w:t>
      </w:r>
    </w:p>
    <w:p w14:paraId="1EAD1767" w14:textId="68DCB3AD" w:rsidR="00E958E2" w:rsidRPr="001B0320" w:rsidRDefault="00E958E2" w:rsidP="00E958E2">
      <w:pPr>
        <w:pStyle w:val="NormalWeb"/>
        <w:spacing w:before="0" w:beforeAutospacing="0" w:after="0" w:afterAutospacing="0"/>
        <w:rPr>
          <w:noProof/>
          <w:sz w:val="18"/>
          <w:lang w:val="en-US"/>
        </w:rPr>
      </w:pPr>
      <w:r>
        <w:rPr>
          <w:noProof/>
          <w:sz w:val="18"/>
          <w:lang w:val="en-US"/>
        </w:rPr>
        <w:t xml:space="preserve">[6] Yokogawa, K., Murata, K., Yoshino, H., &amp; Aoyama, S. (2007) </w:t>
      </w:r>
      <w:r w:rsidRPr="00E958E2">
        <w:rPr>
          <w:i/>
          <w:iCs/>
          <w:noProof/>
          <w:sz w:val="18"/>
          <w:lang w:val="en-US"/>
        </w:rPr>
        <w:t>Jpn. J. Appl. Phys.</w:t>
      </w:r>
      <w:r>
        <w:rPr>
          <w:noProof/>
          <w:sz w:val="18"/>
          <w:lang w:val="en-US"/>
        </w:rPr>
        <w:t xml:space="preserve"> </w:t>
      </w:r>
      <w:r w:rsidRPr="00E958E2">
        <w:rPr>
          <w:b/>
          <w:bCs/>
          <w:noProof/>
          <w:sz w:val="18"/>
          <w:lang w:val="en-US"/>
        </w:rPr>
        <w:t>46</w:t>
      </w:r>
      <w:r>
        <w:rPr>
          <w:noProof/>
          <w:sz w:val="18"/>
          <w:lang w:val="en-US"/>
        </w:rPr>
        <w:t>, 3636.</w:t>
      </w:r>
    </w:p>
    <w:p w14:paraId="0F412170" w14:textId="268CBA8C" w:rsidR="00E958E2" w:rsidRPr="001B0320" w:rsidRDefault="00E958E2" w:rsidP="00E958E2">
      <w:pPr>
        <w:widowControl w:val="0"/>
        <w:autoSpaceDE w:val="0"/>
        <w:autoSpaceDN w:val="0"/>
        <w:adjustRightInd w:val="0"/>
        <w:ind w:left="480" w:hanging="480"/>
        <w:rPr>
          <w:noProof/>
          <w:sz w:val="18"/>
          <w:lang w:val="en-US"/>
        </w:rPr>
      </w:pPr>
    </w:p>
    <w:sectPr w:rsidR="00E958E2" w:rsidRPr="001B0320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3B0A" w14:textId="77777777" w:rsidR="0001737C" w:rsidRDefault="0001737C">
      <w:pPr>
        <w:spacing w:after="0"/>
      </w:pPr>
      <w:r>
        <w:separator/>
      </w:r>
    </w:p>
  </w:endnote>
  <w:endnote w:type="continuationSeparator" w:id="0">
    <w:p w14:paraId="04456F25" w14:textId="77777777" w:rsidR="0001737C" w:rsidRDefault="000173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534" w14:textId="77777777" w:rsidR="00E15898" w:rsidRDefault="00000000">
    <w:pPr>
      <w:pStyle w:val="Footer"/>
    </w:pPr>
    <w:r>
      <w:t>Acta Cryst. (2025). A81, e1</w:t>
    </w:r>
  </w:p>
  <w:p w14:paraId="38B9F92F" w14:textId="77777777" w:rsidR="00E15898" w:rsidRDefault="00E15898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B10A" w14:textId="77777777" w:rsidR="0001737C" w:rsidRDefault="0001737C">
      <w:pPr>
        <w:spacing w:after="0"/>
      </w:pPr>
      <w:r>
        <w:separator/>
      </w:r>
    </w:p>
  </w:footnote>
  <w:footnote w:type="continuationSeparator" w:id="0">
    <w:p w14:paraId="48A4C752" w14:textId="77777777" w:rsidR="0001737C" w:rsidRDefault="000173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9C63" w14:textId="77777777" w:rsidR="00E15898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8"/>
    <w:rsid w:val="0001533A"/>
    <w:rsid w:val="0001737C"/>
    <w:rsid w:val="00022D7B"/>
    <w:rsid w:val="00030418"/>
    <w:rsid w:val="00050038"/>
    <w:rsid w:val="00050718"/>
    <w:rsid w:val="00055289"/>
    <w:rsid w:val="000600BE"/>
    <w:rsid w:val="0006031C"/>
    <w:rsid w:val="00062C80"/>
    <w:rsid w:val="00076683"/>
    <w:rsid w:val="00082866"/>
    <w:rsid w:val="000924E3"/>
    <w:rsid w:val="000936BD"/>
    <w:rsid w:val="000B59C6"/>
    <w:rsid w:val="000E3FED"/>
    <w:rsid w:val="00111A07"/>
    <w:rsid w:val="00126691"/>
    <w:rsid w:val="00142233"/>
    <w:rsid w:val="00151FD3"/>
    <w:rsid w:val="00160689"/>
    <w:rsid w:val="00164BB4"/>
    <w:rsid w:val="001674FE"/>
    <w:rsid w:val="001819F9"/>
    <w:rsid w:val="00182793"/>
    <w:rsid w:val="001A5EEA"/>
    <w:rsid w:val="001B0320"/>
    <w:rsid w:val="001B7EFB"/>
    <w:rsid w:val="001C0DBD"/>
    <w:rsid w:val="001C20CE"/>
    <w:rsid w:val="001E47B7"/>
    <w:rsid w:val="001E7A02"/>
    <w:rsid w:val="002024CB"/>
    <w:rsid w:val="002077B8"/>
    <w:rsid w:val="002174DE"/>
    <w:rsid w:val="002249D7"/>
    <w:rsid w:val="00252CB3"/>
    <w:rsid w:val="002B7C57"/>
    <w:rsid w:val="002D0682"/>
    <w:rsid w:val="002E2B73"/>
    <w:rsid w:val="003119AC"/>
    <w:rsid w:val="00313546"/>
    <w:rsid w:val="00331B3A"/>
    <w:rsid w:val="00332F10"/>
    <w:rsid w:val="0033370C"/>
    <w:rsid w:val="00335A94"/>
    <w:rsid w:val="003539BA"/>
    <w:rsid w:val="003753E7"/>
    <w:rsid w:val="0038312E"/>
    <w:rsid w:val="003B0F40"/>
    <w:rsid w:val="003B308C"/>
    <w:rsid w:val="003B4272"/>
    <w:rsid w:val="003C0E03"/>
    <w:rsid w:val="003F0AA7"/>
    <w:rsid w:val="00400F61"/>
    <w:rsid w:val="004100DF"/>
    <w:rsid w:val="004119F6"/>
    <w:rsid w:val="00412C25"/>
    <w:rsid w:val="00415A2C"/>
    <w:rsid w:val="00426357"/>
    <w:rsid w:val="00437DFA"/>
    <w:rsid w:val="00437F09"/>
    <w:rsid w:val="00447DA7"/>
    <w:rsid w:val="00465D52"/>
    <w:rsid w:val="00473127"/>
    <w:rsid w:val="00475A14"/>
    <w:rsid w:val="00484BFE"/>
    <w:rsid w:val="004901E5"/>
    <w:rsid w:val="004A1345"/>
    <w:rsid w:val="004A246E"/>
    <w:rsid w:val="004A32B3"/>
    <w:rsid w:val="004B1837"/>
    <w:rsid w:val="004C6C64"/>
    <w:rsid w:val="004D38F2"/>
    <w:rsid w:val="004E0F6A"/>
    <w:rsid w:val="004E6C7F"/>
    <w:rsid w:val="004F0685"/>
    <w:rsid w:val="005835D5"/>
    <w:rsid w:val="00590431"/>
    <w:rsid w:val="0059187B"/>
    <w:rsid w:val="00592910"/>
    <w:rsid w:val="005A0565"/>
    <w:rsid w:val="005D18F7"/>
    <w:rsid w:val="005E42B7"/>
    <w:rsid w:val="006144A1"/>
    <w:rsid w:val="006251B4"/>
    <w:rsid w:val="00636BE9"/>
    <w:rsid w:val="00644920"/>
    <w:rsid w:val="00655EDA"/>
    <w:rsid w:val="00676598"/>
    <w:rsid w:val="00684F9D"/>
    <w:rsid w:val="006B70B5"/>
    <w:rsid w:val="006C1E34"/>
    <w:rsid w:val="006E1F98"/>
    <w:rsid w:val="007127CE"/>
    <w:rsid w:val="00721D5B"/>
    <w:rsid w:val="00740DBA"/>
    <w:rsid w:val="00746089"/>
    <w:rsid w:val="007606D6"/>
    <w:rsid w:val="00761087"/>
    <w:rsid w:val="00763E68"/>
    <w:rsid w:val="0076555D"/>
    <w:rsid w:val="00773751"/>
    <w:rsid w:val="007A4039"/>
    <w:rsid w:val="007B0621"/>
    <w:rsid w:val="007B07B6"/>
    <w:rsid w:val="007C0A51"/>
    <w:rsid w:val="007C2BDA"/>
    <w:rsid w:val="0083657A"/>
    <w:rsid w:val="008436CB"/>
    <w:rsid w:val="008724C7"/>
    <w:rsid w:val="0088281A"/>
    <w:rsid w:val="00884D5C"/>
    <w:rsid w:val="008A698F"/>
    <w:rsid w:val="008C05AB"/>
    <w:rsid w:val="008D79C6"/>
    <w:rsid w:val="008E585B"/>
    <w:rsid w:val="00904401"/>
    <w:rsid w:val="00905AD1"/>
    <w:rsid w:val="00906DF5"/>
    <w:rsid w:val="00911B92"/>
    <w:rsid w:val="00913404"/>
    <w:rsid w:val="009178EB"/>
    <w:rsid w:val="009223B5"/>
    <w:rsid w:val="0093125D"/>
    <w:rsid w:val="009401B7"/>
    <w:rsid w:val="009449FE"/>
    <w:rsid w:val="00950B50"/>
    <w:rsid w:val="009529AC"/>
    <w:rsid w:val="00955316"/>
    <w:rsid w:val="00975AD1"/>
    <w:rsid w:val="0098483E"/>
    <w:rsid w:val="00990ECD"/>
    <w:rsid w:val="0099457C"/>
    <w:rsid w:val="0099749F"/>
    <w:rsid w:val="009A6929"/>
    <w:rsid w:val="009B0701"/>
    <w:rsid w:val="009D0E52"/>
    <w:rsid w:val="009E4758"/>
    <w:rsid w:val="009E7DE1"/>
    <w:rsid w:val="009F5549"/>
    <w:rsid w:val="00A148D2"/>
    <w:rsid w:val="00A14C06"/>
    <w:rsid w:val="00A254AF"/>
    <w:rsid w:val="00A25920"/>
    <w:rsid w:val="00A4032D"/>
    <w:rsid w:val="00A44CF7"/>
    <w:rsid w:val="00A45133"/>
    <w:rsid w:val="00A65A7B"/>
    <w:rsid w:val="00A97116"/>
    <w:rsid w:val="00AD505C"/>
    <w:rsid w:val="00AE3364"/>
    <w:rsid w:val="00AF6C46"/>
    <w:rsid w:val="00B00FEB"/>
    <w:rsid w:val="00B13229"/>
    <w:rsid w:val="00B452DA"/>
    <w:rsid w:val="00B50C09"/>
    <w:rsid w:val="00B62612"/>
    <w:rsid w:val="00B63967"/>
    <w:rsid w:val="00B64B61"/>
    <w:rsid w:val="00B65D79"/>
    <w:rsid w:val="00B710F4"/>
    <w:rsid w:val="00B930D5"/>
    <w:rsid w:val="00BA15BB"/>
    <w:rsid w:val="00BC7449"/>
    <w:rsid w:val="00BE4246"/>
    <w:rsid w:val="00C415F9"/>
    <w:rsid w:val="00C4172E"/>
    <w:rsid w:val="00C55B8B"/>
    <w:rsid w:val="00C73B02"/>
    <w:rsid w:val="00C85E16"/>
    <w:rsid w:val="00C946FC"/>
    <w:rsid w:val="00CA7E56"/>
    <w:rsid w:val="00CD1713"/>
    <w:rsid w:val="00CD47FE"/>
    <w:rsid w:val="00CE4DD9"/>
    <w:rsid w:val="00CF7F91"/>
    <w:rsid w:val="00D10C3F"/>
    <w:rsid w:val="00D110AE"/>
    <w:rsid w:val="00D138CB"/>
    <w:rsid w:val="00D2620D"/>
    <w:rsid w:val="00D33D0A"/>
    <w:rsid w:val="00D620AA"/>
    <w:rsid w:val="00D74B60"/>
    <w:rsid w:val="00D82640"/>
    <w:rsid w:val="00D9247C"/>
    <w:rsid w:val="00D94D9F"/>
    <w:rsid w:val="00DA21B8"/>
    <w:rsid w:val="00DA39C5"/>
    <w:rsid w:val="00DB1051"/>
    <w:rsid w:val="00DD252D"/>
    <w:rsid w:val="00DF2A12"/>
    <w:rsid w:val="00E00A74"/>
    <w:rsid w:val="00E01BE7"/>
    <w:rsid w:val="00E152A0"/>
    <w:rsid w:val="00E15898"/>
    <w:rsid w:val="00E15B01"/>
    <w:rsid w:val="00E15C0B"/>
    <w:rsid w:val="00E16814"/>
    <w:rsid w:val="00E2122F"/>
    <w:rsid w:val="00E2440B"/>
    <w:rsid w:val="00E6480F"/>
    <w:rsid w:val="00E958E2"/>
    <w:rsid w:val="00EB0A98"/>
    <w:rsid w:val="00EB0D91"/>
    <w:rsid w:val="00EB138A"/>
    <w:rsid w:val="00EC38F5"/>
    <w:rsid w:val="00EE763F"/>
    <w:rsid w:val="00F079AA"/>
    <w:rsid w:val="00F344D7"/>
    <w:rsid w:val="00F40F0D"/>
    <w:rsid w:val="00F41191"/>
    <w:rsid w:val="00F42752"/>
    <w:rsid w:val="00F634B3"/>
    <w:rsid w:val="00F63A84"/>
    <w:rsid w:val="00F64A6A"/>
    <w:rsid w:val="00F85D49"/>
    <w:rsid w:val="00FD1E49"/>
    <w:rsid w:val="00FD5240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EBE36"/>
  <w15:docId w15:val="{1316CD96-13F9-1A40-9EA3-42FBA6C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3F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3FE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E3FED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958E2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hiroki@eqchem.s.u-tokyo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504</Words>
  <Characters>2875</Characters>
  <Application>Microsoft Office Word</Application>
  <DocSecurity>0</DocSecurity>
  <Lines>23</Lines>
  <Paragraphs>6</Paragraphs>
  <ScaleCrop>false</ScaleCrop>
  <Company>MFF UK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小林　大輝</cp:lastModifiedBy>
  <cp:revision>319</cp:revision>
  <dcterms:created xsi:type="dcterms:W3CDTF">2019-09-04T15:26:00Z</dcterms:created>
  <dcterms:modified xsi:type="dcterms:W3CDTF">2025-05-10T15:29:00Z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endeley Document_1">
    <vt:lpwstr>True</vt:lpwstr>
  </property>
  <property fmtid="{D5CDD505-2E9C-101B-9397-08002B2CF9AE}" pid="7" name="Mendeley Unique User Id_1">
    <vt:lpwstr>4521bad5-4da3-3753-91e6-a23e5c748a83</vt:lpwstr>
  </property>
  <property fmtid="{D5CDD505-2E9C-101B-9397-08002B2CF9AE}" pid="8" name="Mendeley Citation Style_1">
    <vt:lpwstr>http://www.zotero.org/styles/acta-crystallographica-section-a-foundations-and-advances</vt:lpwstr>
  </property>
  <property fmtid="{D5CDD505-2E9C-101B-9397-08002B2CF9AE}" pid="9" name="Mendeley Recent Style Id 0_1">
    <vt:lpwstr>http://www.zotero.org/styles/acta-crystallographica-section-a-foundations-and-advances</vt:lpwstr>
  </property>
  <property fmtid="{D5CDD505-2E9C-101B-9397-08002B2CF9AE}" pid="10" name="Mendeley Recent Style Name 0_1">
    <vt:lpwstr>Acta Crystallographica Section A: Foundations and Advances</vt:lpwstr>
  </property>
  <property fmtid="{D5CDD505-2E9C-101B-9397-08002B2CF9AE}" pid="11" name="Mendeley Recent Style Id 1_1">
    <vt:lpwstr>http://www.zotero.org/styles/chemical-physics-letters</vt:lpwstr>
  </property>
  <property fmtid="{D5CDD505-2E9C-101B-9397-08002B2CF9AE}" pid="12" name="Mendeley Recent Style Name 1_1">
    <vt:lpwstr>Chemical Physics Letters</vt:lpwstr>
  </property>
  <property fmtid="{D5CDD505-2E9C-101B-9397-08002B2CF9AE}" pid="13" name="Mendeley Recent Style Id 2_1">
    <vt:lpwstr>http://www.zotero.org/styles/chemical-science</vt:lpwstr>
  </property>
  <property fmtid="{D5CDD505-2E9C-101B-9397-08002B2CF9AE}" pid="14" name="Mendeley Recent Style Name 2_1">
    <vt:lpwstr>Chemical Science</vt:lpwstr>
  </property>
  <property fmtid="{D5CDD505-2E9C-101B-9397-08002B2CF9AE}" pid="15" name="Mendeley Recent Style Id 3_1">
    <vt:lpwstr>http://www.zotero.org/styles/crystal-growth-and-design</vt:lpwstr>
  </property>
  <property fmtid="{D5CDD505-2E9C-101B-9397-08002B2CF9AE}" pid="16" name="Mendeley Recent Style Name 3_1">
    <vt:lpwstr>Crystal Growth &amp; Design</vt:lpwstr>
  </property>
  <property fmtid="{D5CDD505-2E9C-101B-9397-08002B2CF9AE}" pid="17" name="Mendeley Recent Style Id 4_1">
    <vt:lpwstr>http://www.zotero.org/styles/high-pressure-research</vt:lpwstr>
  </property>
  <property fmtid="{D5CDD505-2E9C-101B-9397-08002B2CF9AE}" pid="18" name="Mendeley Recent Style Name 4_1">
    <vt:lpwstr>High Pressure Research</vt:lpwstr>
  </property>
  <property fmtid="{D5CDD505-2E9C-101B-9397-08002B2CF9AE}" pid="19" name="Mendeley Recent Style Id 5_1">
    <vt:lpwstr>http://www.zotero.org/styles/journal-of-applied-crystallography</vt:lpwstr>
  </property>
  <property fmtid="{D5CDD505-2E9C-101B-9397-08002B2CF9AE}" pid="20" name="Mendeley Recent Style Name 5_1">
    <vt:lpwstr>Journal of Applied Crystallography</vt:lpwstr>
  </property>
  <property fmtid="{D5CDD505-2E9C-101B-9397-08002B2CF9AE}" pid="21" name="Mendeley Recent Style Id 6_1">
    <vt:lpwstr>http://www.zotero.org/styles/nature-chemistry</vt:lpwstr>
  </property>
  <property fmtid="{D5CDD505-2E9C-101B-9397-08002B2CF9AE}" pid="22" name="Mendeley Recent Style Name 6_1">
    <vt:lpwstr>Nature Chemistry</vt:lpwstr>
  </property>
  <property fmtid="{D5CDD505-2E9C-101B-9397-08002B2CF9AE}" pid="23" name="Mendeley Recent Style Id 7_1">
    <vt:lpwstr>http://www.zotero.org/styles/physical-review-letters</vt:lpwstr>
  </property>
  <property fmtid="{D5CDD505-2E9C-101B-9397-08002B2CF9AE}" pid="24" name="Mendeley Recent Style Name 7_1">
    <vt:lpwstr>Physical Review Letters</vt:lpwstr>
  </property>
  <property fmtid="{D5CDD505-2E9C-101B-9397-08002B2CF9AE}" pid="25" name="Mendeley Recent Style Id 8_1">
    <vt:lpwstr>http://www.zotero.org/styles/science</vt:lpwstr>
  </property>
  <property fmtid="{D5CDD505-2E9C-101B-9397-08002B2CF9AE}" pid="26" name="Mendeley Recent Style Name 8_1">
    <vt:lpwstr>Science</vt:lpwstr>
  </property>
  <property fmtid="{D5CDD505-2E9C-101B-9397-08002B2CF9AE}" pid="27" name="Mendeley Recent Style Id 9_1">
    <vt:lpwstr>http://www.zotero.org/styles/the-journal-of-chemical-physics</vt:lpwstr>
  </property>
  <property fmtid="{D5CDD505-2E9C-101B-9397-08002B2CF9AE}" pid="28" name="Mendeley Recent Style Name 9_1">
    <vt:lpwstr>The Journal of Chemical Physics</vt:lpwstr>
  </property>
</Properties>
</file>