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143" w:rsidRPr="005E36A3" w:rsidRDefault="005E36A3" w:rsidP="005E36A3">
      <w:pPr>
        <w:pStyle w:val="Heading1"/>
        <w:rPr>
          <w:lang w:val="en-US"/>
        </w:rPr>
      </w:pPr>
      <w:r w:rsidRPr="005E36A3">
        <w:rPr>
          <w:lang w:val="en-US"/>
        </w:rPr>
        <w:t>Coordination mode p</w:t>
      </w:r>
      <w:bookmarkStart w:id="0" w:name="_GoBack"/>
      <w:bookmarkEnd w:id="0"/>
      <w:r w:rsidRPr="005E36A3">
        <w:rPr>
          <w:lang w:val="en-US"/>
        </w:rPr>
        <w:t>references of 1,2,3-triazoles:</w:t>
      </w:r>
      <w:r w:rsidRPr="005E36A3">
        <w:rPr>
          <w:lang w:val="en-US"/>
        </w:rPr>
        <w:br/>
        <w:t>monodentate versus bidentate</w:t>
      </w:r>
    </w:p>
    <w:p w:rsidR="00226143" w:rsidRPr="005B4E58" w:rsidRDefault="005B4E58" w:rsidP="005B4E58">
      <w:pPr>
        <w:pStyle w:val="Heading2"/>
        <w:rPr>
          <w:szCs w:val="22"/>
          <w:lang w:val="en-US"/>
        </w:rPr>
      </w:pPr>
      <w:r>
        <w:rPr>
          <w:szCs w:val="22"/>
          <w:lang w:val="en-US"/>
        </w:rPr>
        <w:t>P. Le Garff</w:t>
      </w:r>
      <w:r w:rsidRPr="005B4E58">
        <w:rPr>
          <w:szCs w:val="22"/>
          <w:vertAlign w:val="superscript"/>
          <w:lang w:val="en-US"/>
        </w:rPr>
        <w:t>1</w:t>
      </w:r>
      <w:r w:rsidRPr="005B4E58">
        <w:rPr>
          <w:szCs w:val="22"/>
          <w:lang w:val="en-US"/>
        </w:rPr>
        <w:t>,</w:t>
      </w:r>
      <w:r w:rsidRPr="005B4E58">
        <w:rPr>
          <w:szCs w:val="22"/>
          <w:vertAlign w:val="superscript"/>
          <w:lang w:val="en-US"/>
        </w:rPr>
        <w:t xml:space="preserve"> </w:t>
      </w:r>
      <w:r w:rsidRPr="005B4E58">
        <w:rPr>
          <w:szCs w:val="22"/>
          <w:lang w:val="en-US"/>
        </w:rPr>
        <w:t>R. Jalmakhanbetova</w:t>
      </w:r>
      <w:r>
        <w:rPr>
          <w:szCs w:val="22"/>
          <w:vertAlign w:val="superscript"/>
          <w:lang w:val="en-US"/>
        </w:rPr>
        <w:t>2</w:t>
      </w:r>
      <w:r w:rsidRPr="005B4E58">
        <w:rPr>
          <w:szCs w:val="22"/>
          <w:lang w:val="en-US"/>
        </w:rPr>
        <w:t>,</w:t>
      </w:r>
      <w:r w:rsidRPr="005B4E58">
        <w:rPr>
          <w:szCs w:val="22"/>
          <w:vertAlign w:val="superscript"/>
          <w:lang w:val="en-US"/>
        </w:rPr>
        <w:t xml:space="preserve"> </w:t>
      </w:r>
      <w:r w:rsidRPr="005B4E58">
        <w:rPr>
          <w:szCs w:val="22"/>
          <w:lang w:val="en-US"/>
        </w:rPr>
        <w:t>R. M. Losus</w:t>
      </w:r>
      <w:r>
        <w:rPr>
          <w:szCs w:val="22"/>
          <w:vertAlign w:val="superscript"/>
          <w:lang w:val="en-US"/>
        </w:rPr>
        <w:t>1</w:t>
      </w:r>
      <w:r w:rsidRPr="005B4E58">
        <w:rPr>
          <w:szCs w:val="22"/>
          <w:lang w:val="en-US"/>
        </w:rPr>
        <w:t>, W. Dehaen</w:t>
      </w:r>
      <w:r>
        <w:rPr>
          <w:szCs w:val="22"/>
          <w:vertAlign w:val="superscript"/>
          <w:lang w:val="en-US"/>
        </w:rPr>
        <w:t>2</w:t>
      </w:r>
      <w:r w:rsidRPr="005B4E58">
        <w:rPr>
          <w:szCs w:val="22"/>
          <w:lang w:val="en-US"/>
        </w:rPr>
        <w:t>, L. Dobrzańska</w:t>
      </w:r>
      <w:r>
        <w:rPr>
          <w:szCs w:val="22"/>
          <w:vertAlign w:val="superscript"/>
          <w:lang w:val="en-US"/>
        </w:rPr>
        <w:t>1</w:t>
      </w:r>
    </w:p>
    <w:p w:rsidR="005B4E58" w:rsidRDefault="005B4E58" w:rsidP="005B4E58">
      <w:pPr>
        <w:pStyle w:val="Heading3"/>
        <w:rPr>
          <w:szCs w:val="20"/>
          <w:vertAlign w:val="superscript"/>
        </w:rPr>
      </w:pPr>
      <w:r>
        <w:rPr>
          <w:vertAlign w:val="superscript"/>
        </w:rPr>
        <w:t>1</w:t>
      </w:r>
      <w:r w:rsidRPr="005B4E58">
        <w:t>Nicolaus Copernicus University in Toruń, Faculty of Chemistry, 87-100 Toruń, Poland</w:t>
      </w:r>
      <w:r>
        <w:t xml:space="preserve">, </w:t>
      </w:r>
      <w:r>
        <w:rPr>
          <w:szCs w:val="20"/>
          <w:vertAlign w:val="superscript"/>
        </w:rPr>
        <w:t>2</w:t>
      </w:r>
      <w:r>
        <w:rPr>
          <w:iCs/>
          <w:color w:val="000000"/>
          <w:szCs w:val="20"/>
        </w:rPr>
        <w:t xml:space="preserve">KU Leuven, Department of Chemistry, </w:t>
      </w:r>
      <w:r>
        <w:rPr>
          <w:iCs/>
          <w:color w:val="212529"/>
          <w:szCs w:val="20"/>
        </w:rPr>
        <w:t>3001 Leuven</w:t>
      </w:r>
      <w:r>
        <w:rPr>
          <w:iCs/>
          <w:color w:val="000000"/>
          <w:szCs w:val="20"/>
        </w:rPr>
        <w:t>, Belgium</w:t>
      </w:r>
    </w:p>
    <w:p w:rsidR="005B4E58" w:rsidRDefault="005B4E58" w:rsidP="005B4E58">
      <w:pPr>
        <w:pStyle w:val="Heading3"/>
      </w:pPr>
      <w:r>
        <w:rPr>
          <w:rFonts w:ascii="Wingdings" w:hAnsi="Wingdings"/>
        </w:rPr>
        <w:t></w:t>
      </w:r>
      <w:r>
        <w:rPr>
          <w:rFonts w:ascii="Segoe UI Symbol" w:hAnsi="Segoe UI Symbol"/>
        </w:rPr>
        <w:t xml:space="preserve"> </w:t>
      </w:r>
      <w:r>
        <w:t>PhD Student, Paul Le Garff; paul-legarff@doktorant.umk.pl</w:t>
      </w:r>
    </w:p>
    <w:p w:rsidR="00226143" w:rsidRDefault="00B366DF" w:rsidP="005B4E58">
      <w:pPr>
        <w:pStyle w:val="Heading3"/>
        <w:jc w:val="both"/>
        <w:rPr>
          <w:sz w:val="18"/>
          <w:szCs w:val="18"/>
        </w:rPr>
      </w:pPr>
      <w:r>
        <w:rPr>
          <w:lang w:eastAsia="de-DE"/>
        </w:rPr>
        <w:br/>
      </w:r>
    </w:p>
    <w:p w:rsidR="002F321D" w:rsidRDefault="002F321D" w:rsidP="002F321D">
      <w:pPr>
        <w:spacing w:line="276" w:lineRule="auto"/>
      </w:pPr>
      <w:r>
        <w:t xml:space="preserve">1,2,3-triazoles </w:t>
      </w:r>
      <w:r>
        <w:rPr>
          <w:color w:val="0D0D0D"/>
          <w:shd w:val="clear" w:color="auto" w:fill="FFFFFF"/>
        </w:rPr>
        <w:t>represent a versatile class of compounds with significant importance in various fields of chemistry, including medicinal chemistry [1], materials science [2], and coordination chemistry [3].</w:t>
      </w:r>
      <w:r>
        <w:t xml:space="preserve"> The development of new ways of synthesis, in particular </w:t>
      </w:r>
      <w:r>
        <w:rPr>
          <w:color w:val="0D0D0D"/>
          <w:shd w:val="clear" w:color="auto" w:fill="FFFFFF"/>
        </w:rPr>
        <w:t xml:space="preserve">the </w:t>
      </w:r>
      <w:r>
        <w:t xml:space="preserve">Cu-catalyzed </w:t>
      </w:r>
      <w:r>
        <w:rPr>
          <w:color w:val="0D0D0D"/>
          <w:shd w:val="clear" w:color="auto" w:fill="FFFFFF"/>
        </w:rPr>
        <w:t>1,3-dipolar cycloaddition reaction between an azide and an alkyne, known as click chemistry</w:t>
      </w:r>
      <w:r>
        <w:t xml:space="preserve"> [4], has rendered this scaffold readily accessible.</w:t>
      </w:r>
    </w:p>
    <w:p w:rsidR="002F321D" w:rsidRDefault="002F321D" w:rsidP="002F321D">
      <w:pPr>
        <w:spacing w:line="276" w:lineRule="auto"/>
        <w:rPr>
          <w:lang w:val="en-US"/>
        </w:rPr>
      </w:pPr>
      <w:r>
        <w:rPr>
          <w:lang w:val="en-US"/>
        </w:rPr>
        <w:t>In line with our studies on coordination compounds with heterocyclic ligands, we present a series of copper (II) complexes obtained with a new 1,2,3-triazole ligand, namely 2-(1-methyl-1H-1,2,3-triazol-4-yl)-1H-benzo[d]imidazole (</w:t>
      </w:r>
      <w:r w:rsidRPr="00B02CD5">
        <w:rPr>
          <w:b/>
          <w:lang w:val="en-US"/>
        </w:rPr>
        <w:t>L</w:t>
      </w:r>
      <w:r>
        <w:rPr>
          <w:lang w:val="en-US"/>
        </w:rPr>
        <w:t>). The structures of the metal complexes were analysed by SCXRD, revealing that the complexation reactions lead to the formation of a range of products, which differ by coordination mode or degree of hydration. The molecular/crystal structures will be presented, as well as the preferences of the ligand towards particular coordination modes. These will be discussed in detail and supported by the results of computational studies.</w:t>
      </w:r>
    </w:p>
    <w:p w:rsidR="000F27EA" w:rsidRDefault="001050D4" w:rsidP="002F321D">
      <w:pPr>
        <w:spacing w:line="276" w:lineRule="auto"/>
      </w:pPr>
      <w:r>
        <w:rPr>
          <w:noProof/>
          <w:lang w:val="en-US" w:eastAsia="en-US"/>
        </w:rPr>
        <w:drawing>
          <wp:anchor distT="0" distB="0" distL="114300" distR="114300" simplePos="0" relativeHeight="251658752" behindDoc="0" locked="0" layoutInCell="1" allowOverlap="1">
            <wp:simplePos x="0" y="0"/>
            <wp:positionH relativeFrom="column">
              <wp:posOffset>1256665</wp:posOffset>
            </wp:positionH>
            <wp:positionV relativeFrom="paragraph">
              <wp:posOffset>139700</wp:posOffset>
            </wp:positionV>
            <wp:extent cx="4343400" cy="14001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3400" cy="1400175"/>
                    </a:xfrm>
                    <a:prstGeom prst="rect">
                      <a:avLst/>
                    </a:prstGeom>
                    <a:noFill/>
                  </pic:spPr>
                </pic:pic>
              </a:graphicData>
            </a:graphic>
            <wp14:sizeRelH relativeFrom="page">
              <wp14:pctWidth>0</wp14:pctWidth>
            </wp14:sizeRelH>
            <wp14:sizeRelV relativeFrom="page">
              <wp14:pctHeight>0</wp14:pctHeight>
            </wp14:sizeRelV>
          </wp:anchor>
        </w:drawing>
      </w:r>
    </w:p>
    <w:p w:rsidR="00226143" w:rsidRDefault="00B366DF">
      <w:r>
        <w:t>.</w:t>
      </w:r>
    </w:p>
    <w:p w:rsidR="002F321D" w:rsidRDefault="002F321D">
      <w:pPr>
        <w:jc w:val="center"/>
      </w:pPr>
    </w:p>
    <w:p w:rsidR="002F321D" w:rsidRDefault="002F321D">
      <w:pPr>
        <w:jc w:val="center"/>
      </w:pPr>
    </w:p>
    <w:p w:rsidR="002F321D" w:rsidRDefault="002F321D">
      <w:pPr>
        <w:jc w:val="center"/>
      </w:pPr>
    </w:p>
    <w:p w:rsidR="002F321D" w:rsidRDefault="002F321D">
      <w:pPr>
        <w:jc w:val="center"/>
      </w:pPr>
    </w:p>
    <w:p w:rsidR="00226143" w:rsidRDefault="001050D4">
      <w:pPr>
        <w:jc w:val="center"/>
      </w:pPr>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163E0"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d7Tv8FwCAACxBAAADgAAAAAAAAAAAAAAAAAuAgAAZHJzL2Uyb0RvYy54bWxQSwEC&#10;LQAUAAYACAAAACEAhluH1dgAAAAFAQAADwAAAAAAAAAAAAAAAAC2BAAAZHJzL2Rvd25yZXYueG1s&#10;UEsFBgAAAAAEAAQA8wAAALsFAAAAAA==&#10;" filled="f" stroked="f">
                <o:lock v:ext="edit" aspectratio="t" selection="t"/>
              </v:rect>
            </w:pict>
          </mc:Fallback>
        </mc:AlternateContent>
      </w:r>
    </w:p>
    <w:p w:rsidR="000F27EA" w:rsidRDefault="000F27EA" w:rsidP="00820612">
      <w:pPr>
        <w:pStyle w:val="Heading6"/>
        <w:rPr>
          <w:b/>
        </w:rPr>
      </w:pPr>
    </w:p>
    <w:p w:rsidR="00226143" w:rsidRPr="00820612" w:rsidRDefault="00B366DF" w:rsidP="00820612">
      <w:pPr>
        <w:pStyle w:val="Heading6"/>
        <w:rPr>
          <w:lang w:val="en-US"/>
        </w:rPr>
      </w:pPr>
      <w:r w:rsidRPr="00820612">
        <w:rPr>
          <w:b/>
        </w:rPr>
        <w:t>Figure 1</w:t>
      </w:r>
      <w:r w:rsidRPr="00820612">
        <w:t xml:space="preserve">. </w:t>
      </w:r>
      <w:r w:rsidR="00820612" w:rsidRPr="00820612">
        <w:rPr>
          <w:lang w:val="en-US"/>
        </w:rPr>
        <w:t>Coordination modes (monodentate, left; bidentate, right) of the ligand (</w:t>
      </w:r>
      <w:r w:rsidR="00820612" w:rsidRPr="00820612">
        <w:rPr>
          <w:b/>
          <w:lang w:val="en-US"/>
        </w:rPr>
        <w:t>L</w:t>
      </w:r>
      <w:r w:rsidR="00820612" w:rsidRPr="00820612">
        <w:rPr>
          <w:lang w:val="en-US"/>
        </w:rPr>
        <w:t>, middle)</w:t>
      </w:r>
    </w:p>
    <w:p w:rsidR="00226143" w:rsidRDefault="00226143">
      <w:pPr>
        <w:rPr>
          <w:lang w:eastAsia="cs-CZ"/>
        </w:rPr>
      </w:pPr>
    </w:p>
    <w:p w:rsidR="000F27EA" w:rsidRDefault="000F27EA">
      <w:pPr>
        <w:rPr>
          <w:lang w:eastAsia="cs-CZ"/>
        </w:rPr>
      </w:pPr>
    </w:p>
    <w:p w:rsidR="004C5623" w:rsidRPr="004C5623" w:rsidRDefault="00B366DF" w:rsidP="004C5623">
      <w:pPr>
        <w:pStyle w:val="Heading4"/>
      </w:pPr>
      <w:r w:rsidRPr="004C5623">
        <w:t xml:space="preserve">[1] </w:t>
      </w:r>
      <w:r w:rsidR="004C5623" w:rsidRPr="004C5623">
        <w:t xml:space="preserve">K. Bozorov et al., </w:t>
      </w:r>
      <w:r w:rsidR="004C5623" w:rsidRPr="000F27EA">
        <w:rPr>
          <w:i/>
        </w:rPr>
        <w:t>Bioorg Med Chem</w:t>
      </w:r>
      <w:r w:rsidR="004C5623" w:rsidRPr="004C5623">
        <w:t>., 2019, 27, 3511.</w:t>
      </w:r>
    </w:p>
    <w:p w:rsidR="00226143" w:rsidRPr="004C5623" w:rsidRDefault="00B366DF" w:rsidP="004C5623">
      <w:pPr>
        <w:pStyle w:val="Heading4"/>
      </w:pPr>
      <w:r w:rsidRPr="004C5623">
        <w:t xml:space="preserve">[2] </w:t>
      </w:r>
      <w:r w:rsidR="004C5623" w:rsidRPr="004C5623">
        <w:t xml:space="preserve">S. Kantheti et al., </w:t>
      </w:r>
      <w:r w:rsidR="004C5623" w:rsidRPr="000F27EA">
        <w:rPr>
          <w:i/>
        </w:rPr>
        <w:t>RSC Adv</w:t>
      </w:r>
      <w:r w:rsidR="004C5623" w:rsidRPr="004C5623">
        <w:t>., 2015, 5, 3687.</w:t>
      </w:r>
    </w:p>
    <w:p w:rsidR="00226143" w:rsidRPr="004C5623" w:rsidRDefault="004C5623" w:rsidP="004C5623">
      <w:pPr>
        <w:pStyle w:val="Heading4"/>
      </w:pPr>
      <w:r w:rsidRPr="004C5623">
        <w:t xml:space="preserve">[3] P. A. Scattergood et al., </w:t>
      </w:r>
      <w:r w:rsidRPr="000F27EA">
        <w:rPr>
          <w:i/>
        </w:rPr>
        <w:t>Coord. Chem. Rev</w:t>
      </w:r>
      <w:r w:rsidRPr="004C5623">
        <w:t>, 2017, 350, 136.</w:t>
      </w:r>
    </w:p>
    <w:p w:rsidR="00226143" w:rsidRPr="004C5623" w:rsidRDefault="004C5623" w:rsidP="004C5623">
      <w:pPr>
        <w:pStyle w:val="Heading4"/>
      </w:pPr>
      <w:r w:rsidRPr="004C5623">
        <w:t xml:space="preserve">[4] V. Castro, H. Rodriguez, and F. Albericio, </w:t>
      </w:r>
      <w:r w:rsidRPr="000F27EA">
        <w:rPr>
          <w:i/>
        </w:rPr>
        <w:t>ACS Comb. Sci</w:t>
      </w:r>
      <w:r w:rsidRPr="004C5623">
        <w:t>.</w:t>
      </w:r>
      <w:r w:rsidR="000F27EA">
        <w:t>,</w:t>
      </w:r>
      <w:r w:rsidRPr="004C5623">
        <w:t xml:space="preserve"> 2016, 18, 1.</w:t>
      </w:r>
    </w:p>
    <w:p w:rsidR="00226143" w:rsidRDefault="00226143">
      <w:pPr>
        <w:pStyle w:val="Acknowledgement"/>
      </w:pPr>
    </w:p>
    <w:sectPr w:rsidR="00226143">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6DF" w:rsidRDefault="00B366DF">
      <w:pPr>
        <w:spacing w:after="0"/>
      </w:pPr>
      <w:r>
        <w:separator/>
      </w:r>
    </w:p>
  </w:endnote>
  <w:endnote w:type="continuationSeparator" w:id="0">
    <w:p w:rsidR="00B366DF" w:rsidRDefault="00B366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143" w:rsidRDefault="00B366DF">
    <w:pPr>
      <w:pStyle w:val="Footer"/>
    </w:pPr>
    <w:r>
      <w:t>Acta Cryst. (2025). A81, e1</w:t>
    </w:r>
  </w:p>
  <w:p w:rsidR="00226143" w:rsidRDefault="00226143">
    <w:pPr>
      <w:tabs>
        <w:tab w:val="center" w:pos="4703"/>
        <w:tab w:val="right" w:pos="94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6DF" w:rsidRDefault="00B366DF">
      <w:pPr>
        <w:spacing w:after="0"/>
      </w:pPr>
      <w:r>
        <w:separator/>
      </w:r>
    </w:p>
  </w:footnote>
  <w:footnote w:type="continuationSeparator" w:id="0">
    <w:p w:rsidR="00B366DF" w:rsidRDefault="00B366D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143" w:rsidRDefault="00B366DF">
    <w:pPr>
      <w:tabs>
        <w:tab w:val="center" w:pos="4703"/>
        <w:tab w:val="right" w:pos="9406"/>
      </w:tabs>
    </w:pPr>
    <w:r>
      <w:rPr>
        <w:b/>
        <w:bCs/>
      </w:rPr>
      <w:t>MS</w:t>
    </w:r>
    <w:r>
      <w:tab/>
    </w:r>
    <w:r>
      <w:rPr>
        <w:b/>
        <w:bCs/>
      </w:rPr>
      <w:t>Microsymposium</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143"/>
    <w:rsid w:val="000F27EA"/>
    <w:rsid w:val="001016F8"/>
    <w:rsid w:val="001050D4"/>
    <w:rsid w:val="00226143"/>
    <w:rsid w:val="002F321D"/>
    <w:rsid w:val="004C5623"/>
    <w:rsid w:val="005B4E58"/>
    <w:rsid w:val="005E36A3"/>
    <w:rsid w:val="00820612"/>
    <w:rsid w:val="0099572A"/>
    <w:rsid w:val="00B366DF"/>
    <w:rsid w:val="00FD6C5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431B58-8713-48EC-91AD-755B32B5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1">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dressICCBICChar">
    <w:name w:val="Address_ICCBIC Char"/>
    <w:link w:val="AddressICCBIC"/>
    <w:uiPriority w:val="99"/>
    <w:locked/>
    <w:rsid w:val="005B4E58"/>
    <w:rPr>
      <w:i/>
      <w:lang w:val="en-US" w:eastAsia="en-US"/>
    </w:rPr>
  </w:style>
  <w:style w:type="paragraph" w:customStyle="1" w:styleId="AddressICCBIC">
    <w:name w:val="Address_ICCBIC"/>
    <w:basedOn w:val="Normal"/>
    <w:link w:val="AddressICCBICChar"/>
    <w:uiPriority w:val="99"/>
    <w:rsid w:val="005B4E58"/>
    <w:pPr>
      <w:overflowPunct w:val="0"/>
      <w:spacing w:after="0" w:line="360" w:lineRule="auto"/>
      <w:jc w:val="left"/>
      <w:textAlignment w:val="baseline"/>
    </w:pPr>
    <w:rPr>
      <w: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26090-241C-4AF8-A7D8-5A2C26793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Paul Le Garff</cp:lastModifiedBy>
  <cp:revision>2</cp:revision>
  <dcterms:created xsi:type="dcterms:W3CDTF">2025-04-25T11:02:00Z</dcterms:created>
  <dcterms:modified xsi:type="dcterms:W3CDTF">2025-04-25T11:02:00Z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