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F7F77" w14:textId="3AAC259F" w:rsidR="00C23610" w:rsidRDefault="00AC734E">
      <w:pPr>
        <w:pStyle w:val="Heading1"/>
      </w:pPr>
      <w:r>
        <w:t xml:space="preserve">The relation of anisotropic peak broadening with lattice symmetry in powder diffraction </w:t>
      </w:r>
    </w:p>
    <w:p w14:paraId="0D09C8C8" w14:textId="755C2940" w:rsidR="00C23610" w:rsidRDefault="00AC734E">
      <w:pPr>
        <w:pStyle w:val="Heading2"/>
      </w:pPr>
      <w:r>
        <w:t>P. Fabrykiewicz</w:t>
      </w:r>
      <w:r>
        <w:rPr>
          <w:vertAlign w:val="superscript"/>
        </w:rPr>
        <w:t>1,2</w:t>
      </w:r>
    </w:p>
    <w:p w14:paraId="4B685E3F" w14:textId="09C38AA9" w:rsidR="00C23610" w:rsidRPr="0030245F" w:rsidRDefault="00000000" w:rsidP="001773F8">
      <w:pPr>
        <w:pStyle w:val="Heading3"/>
      </w:pPr>
      <w:r>
        <w:rPr>
          <w:vertAlign w:val="superscript"/>
        </w:rPr>
        <w:t>1</w:t>
      </w:r>
      <w:r w:rsidR="001773F8">
        <w:t xml:space="preserve">Institute of Crystallography, RWTH Aachen University, </w:t>
      </w:r>
      <w:proofErr w:type="spellStart"/>
      <w:r w:rsidR="001773F8">
        <w:t>J</w:t>
      </w:r>
      <w:r w:rsidR="001773F8" w:rsidRPr="001773F8">
        <w:t>ä</w:t>
      </w:r>
      <w:r w:rsidR="001773F8">
        <w:t>gerstr</w:t>
      </w:r>
      <w:proofErr w:type="spellEnd"/>
      <w:r w:rsidR="001773F8">
        <w:t xml:space="preserve">. </w:t>
      </w:r>
      <w:r w:rsidR="001773F8" w:rsidRPr="001773F8">
        <w:rPr>
          <w:lang w:val="de-DE"/>
        </w:rPr>
        <w:t>17-19, 52066 Aachen, Germany,</w:t>
      </w:r>
      <w:r w:rsidR="001773F8">
        <w:rPr>
          <w:lang w:val="de-DE"/>
        </w:rPr>
        <w:t xml:space="preserve"> </w:t>
      </w:r>
      <w:r w:rsidRPr="001773F8">
        <w:rPr>
          <w:vertAlign w:val="superscript"/>
          <w:lang w:val="de-DE"/>
        </w:rPr>
        <w:t>2</w:t>
      </w:r>
      <w:r w:rsidR="001773F8" w:rsidRPr="001773F8">
        <w:rPr>
          <w:lang w:val="de-DE"/>
        </w:rPr>
        <w:t>J</w:t>
      </w:r>
      <w:r w:rsidR="001773F8">
        <w:rPr>
          <w:lang w:val="de-DE"/>
        </w:rPr>
        <w:t>ü</w:t>
      </w:r>
      <w:r w:rsidR="001773F8" w:rsidRPr="001773F8">
        <w:rPr>
          <w:lang w:val="de-DE"/>
        </w:rPr>
        <w:t xml:space="preserve">lich </w:t>
      </w:r>
      <w:proofErr w:type="spellStart"/>
      <w:r w:rsidR="001773F8" w:rsidRPr="001773F8">
        <w:rPr>
          <w:lang w:val="de-DE"/>
        </w:rPr>
        <w:t>Centre</w:t>
      </w:r>
      <w:proofErr w:type="spellEnd"/>
      <w:r w:rsidR="001773F8" w:rsidRPr="001773F8">
        <w:rPr>
          <w:lang w:val="de-DE"/>
        </w:rPr>
        <w:t xml:space="preserve"> </w:t>
      </w:r>
      <w:proofErr w:type="spellStart"/>
      <w:r w:rsidR="001773F8" w:rsidRPr="001773F8">
        <w:rPr>
          <w:lang w:val="de-DE"/>
        </w:rPr>
        <w:t>for</w:t>
      </w:r>
      <w:proofErr w:type="spellEnd"/>
      <w:r w:rsidR="001773F8">
        <w:rPr>
          <w:lang w:val="de-DE"/>
        </w:rPr>
        <w:t xml:space="preserve"> </w:t>
      </w:r>
      <w:r w:rsidR="001773F8" w:rsidRPr="001773F8">
        <w:rPr>
          <w:lang w:val="de-DE"/>
        </w:rPr>
        <w:t>Neutron Science at Heinz Maier-Leibnitz Zentrum, Forschungszentrum J</w:t>
      </w:r>
      <w:r w:rsidR="001773F8">
        <w:rPr>
          <w:lang w:val="de-DE"/>
        </w:rPr>
        <w:t>ü</w:t>
      </w:r>
      <w:r w:rsidR="001773F8" w:rsidRPr="001773F8">
        <w:rPr>
          <w:lang w:val="de-DE"/>
        </w:rPr>
        <w:t xml:space="preserve">lich GmbH, Lichtenbergstr. </w:t>
      </w:r>
      <w:r w:rsidR="001773F8" w:rsidRPr="0030245F">
        <w:t xml:space="preserve">1, 85747 </w:t>
      </w:r>
      <w:proofErr w:type="spellStart"/>
      <w:r w:rsidR="001773F8" w:rsidRPr="0030245F">
        <w:t>Garching</w:t>
      </w:r>
      <w:proofErr w:type="spellEnd"/>
      <w:r w:rsidR="001773F8" w:rsidRPr="0030245F">
        <w:t>,</w:t>
      </w:r>
      <w:r w:rsidR="005F7C91">
        <w:t xml:space="preserve"> </w:t>
      </w:r>
      <w:r w:rsidR="001773F8" w:rsidRPr="0030245F">
        <w:t>Germany.</w:t>
      </w:r>
    </w:p>
    <w:p w14:paraId="7DF47C90" w14:textId="7631D2A3" w:rsidR="00C23610" w:rsidRPr="0030245F" w:rsidRDefault="00674EF5">
      <w:pPr>
        <w:pStyle w:val="Heading3"/>
        <w:rPr>
          <w:sz w:val="18"/>
          <w:szCs w:val="18"/>
        </w:rPr>
      </w:pPr>
      <w:r w:rsidRPr="0030245F">
        <w:t>Piotr.Fabrykiewicz@frm2.tum.de</w:t>
      </w:r>
      <w:r w:rsidRPr="0030245F">
        <w:rPr>
          <w:lang w:eastAsia="de-DE"/>
        </w:rPr>
        <w:br/>
      </w:r>
    </w:p>
    <w:p w14:paraId="4E3EA030" w14:textId="62124941" w:rsidR="005F7C91" w:rsidRPr="004F2E89" w:rsidRDefault="00EF53B9">
      <w:pPr>
        <w:rPr>
          <w:bCs/>
          <w:szCs w:val="22"/>
        </w:rPr>
      </w:pPr>
      <w:r>
        <w:t>Lattice relaxation, i.e. s</w:t>
      </w:r>
      <w:r w:rsidR="005F7C91">
        <w:t>mall lattice symmetry lowering</w:t>
      </w:r>
      <w:r>
        <w:t>,</w:t>
      </w:r>
      <w:r w:rsidR="005F7C91">
        <w:t xml:space="preserve"> could lead to</w:t>
      </w:r>
      <w:r w:rsidR="00FB079F">
        <w:t xml:space="preserve"> unresolved peak splitting in powder diffraction, which </w:t>
      </w:r>
      <w:r w:rsidR="00CC61FA" w:rsidRPr="00CC61FA">
        <w:t xml:space="preserve">results in </w:t>
      </w:r>
      <w:r w:rsidR="00FB079F">
        <w:t>anisotropic</w:t>
      </w:r>
      <w:r>
        <w:t xml:space="preserve">, </w:t>
      </w:r>
      <w:r w:rsidR="00FB079F">
        <w:t xml:space="preserve">i.e. </w:t>
      </w:r>
      <m:oMath>
        <m:r>
          <w:rPr>
            <w:rFonts w:ascii="Cambria Math" w:hAnsi="Cambria Math"/>
            <w:szCs w:val="22"/>
          </w:rPr>
          <m:t xml:space="preserve">hkl </m:t>
        </m:r>
      </m:oMath>
      <w:r w:rsidR="00FB079F">
        <w:t>-dependent</w:t>
      </w:r>
      <w:r>
        <w:t>,</w:t>
      </w:r>
      <w:r w:rsidR="00FB079F">
        <w:t xml:space="preserve"> peak broadening.</w:t>
      </w:r>
      <w:r w:rsidR="00AE56A3">
        <w:t xml:space="preserve"> Recently </w:t>
      </w:r>
      <w:proofErr w:type="spellStart"/>
      <w:r w:rsidR="00AE56A3" w:rsidRPr="00AE56A3">
        <w:t>Gregorkiewitz</w:t>
      </w:r>
      <w:proofErr w:type="spellEnd"/>
      <w:r w:rsidR="00AE56A3" w:rsidRPr="00AE56A3">
        <w:t xml:space="preserve"> &amp; Boschetti</w:t>
      </w:r>
      <w:r w:rsidR="00AE56A3">
        <w:t xml:space="preserve"> [</w:t>
      </w:r>
      <w:r w:rsidR="00241DA7">
        <w:t>1</w:t>
      </w:r>
      <w:r w:rsidR="00AE56A3">
        <w:t xml:space="preserve">] derived formulas for </w:t>
      </w:r>
      <m:oMath>
        <m:r>
          <w:rPr>
            <w:rFonts w:ascii="Cambria Math" w:hAnsi="Cambria Math"/>
            <w:szCs w:val="22"/>
          </w:rPr>
          <m:t>1/</m:t>
        </m:r>
        <m:sSubSup>
          <m:sSubSupPr>
            <m:ctrlPr>
              <w:rPr>
                <w:rFonts w:ascii="Cambria Math" w:hAnsi="Cambria Math"/>
                <w:bCs/>
                <w:i/>
                <w:szCs w:val="22"/>
              </w:rPr>
            </m:ctrlPr>
          </m:sSubSupPr>
          <m:e>
            <m:r>
              <w:rPr>
                <w:rFonts w:ascii="Cambria Math" w:hAnsi="Cambria Math"/>
                <w:szCs w:val="22"/>
              </w:rPr>
              <m:t>d</m:t>
            </m:r>
          </m:e>
          <m:sub>
            <m:r>
              <w:rPr>
                <w:rFonts w:ascii="Cambria Math" w:hAnsi="Cambria Math"/>
                <w:szCs w:val="22"/>
              </w:rPr>
              <m:t>hkl</m:t>
            </m:r>
          </m:sub>
          <m:sup>
            <m:r>
              <w:rPr>
                <w:rFonts w:ascii="Cambria Math" w:hAnsi="Cambria Math"/>
                <w:szCs w:val="22"/>
              </w:rPr>
              <m:t>2</m:t>
            </m:r>
          </m:sup>
        </m:sSubSup>
      </m:oMath>
      <w:r w:rsidR="00AE56A3">
        <w:rPr>
          <w:bCs/>
          <w:szCs w:val="22"/>
        </w:rPr>
        <w:t xml:space="preserve"> (with </w:t>
      </w:r>
      <m:oMath>
        <m:sSub>
          <m:sSubPr>
            <m:ctrlPr>
              <w:rPr>
                <w:rFonts w:ascii="Cambria Math" w:hAnsi="Cambria Math"/>
                <w:bCs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d</m:t>
            </m:r>
          </m:e>
          <m:sub>
            <m:r>
              <w:rPr>
                <w:rFonts w:ascii="Cambria Math" w:hAnsi="Cambria Math"/>
                <w:szCs w:val="22"/>
              </w:rPr>
              <m:t>hkl</m:t>
            </m:r>
          </m:sub>
        </m:sSub>
      </m:oMath>
      <w:r w:rsidR="00AE56A3">
        <w:rPr>
          <w:bCs/>
          <w:szCs w:val="22"/>
        </w:rPr>
        <w:t xml:space="preserve"> being an interplanar distance) for each split peak component in the following minimal relaxation schemes: (</w:t>
      </w:r>
      <w:proofErr w:type="spellStart"/>
      <w:r w:rsidR="00241DA7">
        <w:rPr>
          <w:bCs/>
          <w:szCs w:val="22"/>
        </w:rPr>
        <w:t>i</w:t>
      </w:r>
      <w:proofErr w:type="spellEnd"/>
      <w:r w:rsidR="00AE56A3">
        <w:rPr>
          <w:bCs/>
          <w:szCs w:val="22"/>
        </w:rPr>
        <w:t>) cubic to tetragonal, (</w:t>
      </w:r>
      <w:r w:rsidR="00241DA7">
        <w:rPr>
          <w:bCs/>
          <w:szCs w:val="22"/>
        </w:rPr>
        <w:t>ii</w:t>
      </w:r>
      <w:r w:rsidR="00AE56A3">
        <w:rPr>
          <w:bCs/>
          <w:szCs w:val="22"/>
        </w:rPr>
        <w:t>) cubic to rhombohedral, (</w:t>
      </w:r>
      <w:r w:rsidR="00241DA7">
        <w:rPr>
          <w:bCs/>
          <w:szCs w:val="22"/>
        </w:rPr>
        <w:t>iii</w:t>
      </w:r>
      <w:r w:rsidR="00AE56A3">
        <w:rPr>
          <w:bCs/>
          <w:szCs w:val="22"/>
        </w:rPr>
        <w:t>) hexagonal to orthorhombic/monoclinic, (</w:t>
      </w:r>
      <w:r w:rsidR="00241DA7">
        <w:rPr>
          <w:bCs/>
          <w:szCs w:val="22"/>
        </w:rPr>
        <w:t>iv</w:t>
      </w:r>
      <w:r w:rsidR="00AE56A3">
        <w:rPr>
          <w:bCs/>
          <w:szCs w:val="22"/>
        </w:rPr>
        <w:t>) tetragonal to orthorhombic, (</w:t>
      </w:r>
      <w:r w:rsidR="00241DA7">
        <w:rPr>
          <w:bCs/>
          <w:szCs w:val="22"/>
        </w:rPr>
        <w:t>v</w:t>
      </w:r>
      <w:r w:rsidR="00AE56A3">
        <w:rPr>
          <w:bCs/>
          <w:szCs w:val="22"/>
        </w:rPr>
        <w:t>) orthorhombic to monoclinic, (</w:t>
      </w:r>
      <w:r w:rsidR="00241DA7">
        <w:rPr>
          <w:bCs/>
          <w:szCs w:val="22"/>
        </w:rPr>
        <w:t>vi</w:t>
      </w:r>
      <w:r w:rsidR="00AE56A3">
        <w:rPr>
          <w:bCs/>
          <w:szCs w:val="22"/>
        </w:rPr>
        <w:t>)</w:t>
      </w:r>
      <w:r w:rsidR="00241DA7">
        <w:rPr>
          <w:bCs/>
          <w:szCs w:val="22"/>
        </w:rPr>
        <w:t> </w:t>
      </w:r>
      <w:r w:rsidR="00AE56A3">
        <w:rPr>
          <w:bCs/>
          <w:szCs w:val="22"/>
        </w:rPr>
        <w:t xml:space="preserve">monoclinic to anorthic (triclinic). </w:t>
      </w:r>
      <w:r w:rsidR="004F2E89" w:rsidRPr="004F2E89">
        <w:rPr>
          <w:bCs/>
          <w:szCs w:val="22"/>
        </w:rPr>
        <w:t>Anisotropic peak</w:t>
      </w:r>
      <w:r w:rsidR="004F2E89">
        <w:rPr>
          <w:bCs/>
          <w:szCs w:val="22"/>
        </w:rPr>
        <w:t xml:space="preserve"> </w:t>
      </w:r>
      <w:r w:rsidR="004F2E89" w:rsidRPr="004F2E89">
        <w:rPr>
          <w:bCs/>
          <w:szCs w:val="22"/>
        </w:rPr>
        <w:t>broadening caused by lattice relaxation can be parameterized by the variance of</w:t>
      </w:r>
      <w:r w:rsidR="004F2E89">
        <w:rPr>
          <w:bCs/>
          <w:szCs w:val="22"/>
        </w:rPr>
        <w:t xml:space="preserve"> those </w:t>
      </w:r>
      <w:r w:rsidR="004F2E89" w:rsidRPr="004F2E89">
        <w:rPr>
          <w:bCs/>
          <w:szCs w:val="22"/>
        </w:rPr>
        <w:t>slightly dispersed peaks’ positions</w:t>
      </w:r>
      <w:r w:rsidR="004F2E89">
        <w:rPr>
          <w:bCs/>
          <w:szCs w:val="22"/>
        </w:rPr>
        <w:t xml:space="preserve"> [</w:t>
      </w:r>
      <w:r w:rsidR="00C0058E">
        <w:rPr>
          <w:bCs/>
          <w:szCs w:val="22"/>
        </w:rPr>
        <w:t>2</w:t>
      </w:r>
      <w:r w:rsidR="004F2E89">
        <w:rPr>
          <w:bCs/>
          <w:szCs w:val="22"/>
        </w:rPr>
        <w:t>]</w:t>
      </w:r>
      <w:r w:rsidR="004F2E89" w:rsidRPr="004F2E89">
        <w:rPr>
          <w:bCs/>
          <w:szCs w:val="22"/>
        </w:rPr>
        <w:t>.</w:t>
      </w:r>
      <w:r w:rsidR="004F2E89">
        <w:rPr>
          <w:bCs/>
          <w:szCs w:val="22"/>
        </w:rPr>
        <w:t xml:space="preserve"> For all relaxation schemes the variances </w:t>
      </w:r>
      <m:oMath>
        <m:sSup>
          <m:sSupPr>
            <m:ctrlPr>
              <w:rPr>
                <w:rFonts w:ascii="Cambria Math" w:hAnsi="Cambria Math"/>
                <w:bCs/>
                <w:i/>
                <w:szCs w:val="22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σ</m:t>
            </m:r>
          </m:e>
          <m:sup>
            <m:r>
              <w:rPr>
                <w:rFonts w:ascii="Cambria Math" w:hAnsi="Cambria Math"/>
                <w:szCs w:val="22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h, k, l</m:t>
            </m:r>
          </m:e>
        </m:d>
      </m:oMath>
      <w:r w:rsidR="004F2E89">
        <w:rPr>
          <w:bCs/>
          <w:szCs w:val="22"/>
        </w:rPr>
        <w:t xml:space="preserve"> are expressed as fourth-order polynomials in </w:t>
      </w:r>
      <m:oMath>
        <m:r>
          <w:rPr>
            <w:rFonts w:ascii="Cambria Math" w:hAnsi="Cambria Math"/>
            <w:szCs w:val="22"/>
          </w:rPr>
          <m:t>h, k, l</m:t>
        </m:r>
      </m:oMath>
      <w:r w:rsidR="004F2E89">
        <w:rPr>
          <w:bCs/>
          <w:szCs w:val="22"/>
        </w:rPr>
        <w:t xml:space="preserve"> indices</w:t>
      </w:r>
      <w:r w:rsidR="002C0732">
        <w:rPr>
          <w:bCs/>
          <w:szCs w:val="22"/>
        </w:rPr>
        <w:t xml:space="preserve"> [2]</w:t>
      </w:r>
      <w:r w:rsidR="004F2E89">
        <w:rPr>
          <w:bCs/>
          <w:szCs w:val="22"/>
        </w:rPr>
        <w:t>:</w:t>
      </w:r>
    </w:p>
    <w:p w14:paraId="254C6D3D" w14:textId="6354721A" w:rsidR="00DF55C6" w:rsidRPr="0030245F" w:rsidRDefault="00000000">
      <w:pPr>
        <w:rPr>
          <w:bCs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szCs w:val="22"/>
                </w:rPr>
              </m:ctrlPr>
            </m:sSupPr>
            <m:e>
              <m:r>
                <w:rPr>
                  <w:rFonts w:ascii="Cambria Math" w:hAnsi="Cambria Math"/>
                  <w:szCs w:val="22"/>
                </w:rPr>
                <m:t>σ</m:t>
              </m:r>
            </m:e>
            <m:sup>
              <m:r>
                <w:rPr>
                  <w:rFonts w:ascii="Cambria Math" w:hAnsi="Cambria Math"/>
                  <w:szCs w:val="22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bCs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h, k, l</m:t>
              </m:r>
            </m:e>
          </m:d>
          <m:r>
            <w:rPr>
              <w:rFonts w:ascii="Cambria Math" w:hAnsi="Cambria Math"/>
              <w:szCs w:val="22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bCs/>
                  <w:i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Cs w:val="22"/>
                </w:rPr>
                <m:t>HKL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HKL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Cs/>
                      <w:i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2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Cs w:val="22"/>
                    </w:rPr>
                    <m:t>H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bCs/>
                      <w:i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bCs/>
                      <w:i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2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Cs w:val="22"/>
                    </w:rPr>
                    <m:t>L</m:t>
                  </m:r>
                </m:sup>
              </m:sSup>
            </m:e>
          </m:nary>
          <m:r>
            <w:rPr>
              <w:rFonts w:ascii="Cambria Math" w:hAnsi="Cambria Math"/>
              <w:szCs w:val="22"/>
            </w:rPr>
            <m:t>,</m:t>
          </m:r>
        </m:oMath>
      </m:oMathPara>
    </w:p>
    <w:p w14:paraId="3E0AAEBE" w14:textId="673EA5E3" w:rsidR="00DF55C6" w:rsidRDefault="0030245F">
      <w:r w:rsidRPr="00544404">
        <w:rPr>
          <w:bCs/>
          <w:szCs w:val="22"/>
        </w:rPr>
        <w:t xml:space="preserve">with </w:t>
      </w:r>
      <m:oMath>
        <m:r>
          <w:rPr>
            <w:rFonts w:ascii="Cambria Math" w:hAnsi="Cambria Math"/>
            <w:szCs w:val="22"/>
          </w:rPr>
          <m:t>H+K+L=4</m:t>
        </m:r>
      </m:oMath>
      <w:r w:rsidRPr="00544404">
        <w:rPr>
          <w:bCs/>
          <w:szCs w:val="22"/>
        </w:rPr>
        <w:t>.</w:t>
      </w:r>
      <w:r w:rsidR="00544404" w:rsidRPr="00544404">
        <w:rPr>
          <w:bCs/>
          <w:szCs w:val="22"/>
        </w:rPr>
        <w:t xml:space="preserve"> </w:t>
      </w:r>
      <w:r w:rsidR="00CC61FA">
        <w:rPr>
          <w:bCs/>
          <w:szCs w:val="22"/>
        </w:rPr>
        <w:t>Popa [</w:t>
      </w:r>
      <w:r w:rsidR="00C0058E">
        <w:t>3</w:t>
      </w:r>
      <w:r w:rsidR="00CC61FA">
        <w:rPr>
          <w:bCs/>
          <w:szCs w:val="22"/>
        </w:rPr>
        <w:t>] provided s</w:t>
      </w:r>
      <w:r w:rsidR="00544404" w:rsidRPr="00544404">
        <w:rPr>
          <w:bCs/>
          <w:szCs w:val="22"/>
        </w:rPr>
        <w:t>ym</w:t>
      </w:r>
      <w:r w:rsidR="00544404">
        <w:rPr>
          <w:bCs/>
          <w:szCs w:val="22"/>
        </w:rPr>
        <w:t xml:space="preserve">metry restrictions for each Laue class for </w:t>
      </w:r>
      <m:oMath>
        <m:sSub>
          <m:sSubPr>
            <m:ctrlPr>
              <w:rPr>
                <w:rFonts w:ascii="Cambria Math" w:hAnsi="Cambria Math"/>
                <w:bCs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S</m:t>
            </m:r>
          </m:e>
          <m:sub>
            <m:r>
              <w:rPr>
                <w:rFonts w:ascii="Cambria Math" w:hAnsi="Cambria Math"/>
                <w:szCs w:val="22"/>
              </w:rPr>
              <m:t>HKL</m:t>
            </m:r>
          </m:sub>
        </m:sSub>
      </m:oMath>
      <w:r w:rsidR="00544404">
        <w:rPr>
          <w:bCs/>
          <w:szCs w:val="22"/>
        </w:rPr>
        <w:t xml:space="preserve"> coefficients. </w:t>
      </w:r>
      <w:r w:rsidR="00976309">
        <w:rPr>
          <w:bCs/>
          <w:szCs w:val="22"/>
        </w:rPr>
        <w:t>Stephens</w:t>
      </w:r>
      <w:r w:rsidR="00D2537C">
        <w:rPr>
          <w:bCs/>
          <w:szCs w:val="22"/>
        </w:rPr>
        <w:t>’</w:t>
      </w:r>
      <w:r w:rsidR="00D2537C" w:rsidRPr="00544404">
        <w:rPr>
          <w:bCs/>
          <w:szCs w:val="22"/>
        </w:rPr>
        <w:t xml:space="preserve"> </w:t>
      </w:r>
      <w:r w:rsidR="00D2537C">
        <w:rPr>
          <w:bCs/>
          <w:szCs w:val="22"/>
        </w:rPr>
        <w:t>phenomenological</w:t>
      </w:r>
      <w:r w:rsidR="00544404" w:rsidRPr="00544404">
        <w:rPr>
          <w:bCs/>
          <w:szCs w:val="22"/>
        </w:rPr>
        <w:t xml:space="preserve"> model of anisotropic peak broadening</w:t>
      </w:r>
      <w:r w:rsidR="00976309">
        <w:rPr>
          <w:bCs/>
          <w:szCs w:val="22"/>
        </w:rPr>
        <w:t xml:space="preserve"> [</w:t>
      </w:r>
      <w:r w:rsidR="00C0058E">
        <w:rPr>
          <w:bCs/>
          <w:szCs w:val="22"/>
        </w:rPr>
        <w:t>4</w:t>
      </w:r>
      <w:r w:rsidR="00976309">
        <w:rPr>
          <w:bCs/>
          <w:szCs w:val="22"/>
        </w:rPr>
        <w:t>]</w:t>
      </w:r>
      <w:r w:rsidR="00420B9D">
        <w:rPr>
          <w:bCs/>
          <w:szCs w:val="22"/>
        </w:rPr>
        <w:t xml:space="preserve"> </w:t>
      </w:r>
      <w:r w:rsidR="00544404" w:rsidRPr="00544404">
        <w:rPr>
          <w:bCs/>
          <w:szCs w:val="22"/>
        </w:rPr>
        <w:t>assumes that each crystallite in a</w:t>
      </w:r>
      <w:r w:rsidR="00544404">
        <w:rPr>
          <w:bCs/>
          <w:szCs w:val="22"/>
        </w:rPr>
        <w:t xml:space="preserve"> </w:t>
      </w:r>
      <w:r w:rsidR="00544404" w:rsidRPr="00544404">
        <w:rPr>
          <w:bCs/>
          <w:szCs w:val="22"/>
        </w:rPr>
        <w:t xml:space="preserve">powder sample is </w:t>
      </w:r>
      <w:r w:rsidR="00D2537C">
        <w:rPr>
          <w:bCs/>
          <w:szCs w:val="22"/>
        </w:rPr>
        <w:t>generally</w:t>
      </w:r>
      <w:r w:rsidR="00544404" w:rsidRPr="00544404">
        <w:rPr>
          <w:bCs/>
          <w:szCs w:val="22"/>
        </w:rPr>
        <w:t xml:space="preserve"> triclinic and that only</w:t>
      </w:r>
      <w:r w:rsidR="00D2537C">
        <w:rPr>
          <w:bCs/>
          <w:szCs w:val="22"/>
        </w:rPr>
        <w:t xml:space="preserve"> the</w:t>
      </w:r>
      <w:r w:rsidR="00544404" w:rsidRPr="00544404">
        <w:rPr>
          <w:bCs/>
          <w:szCs w:val="22"/>
        </w:rPr>
        <w:t xml:space="preserve"> average</w:t>
      </w:r>
      <w:r w:rsidR="00544404">
        <w:rPr>
          <w:bCs/>
          <w:szCs w:val="22"/>
        </w:rPr>
        <w:t xml:space="preserve"> </w:t>
      </w:r>
      <w:r w:rsidR="00544404" w:rsidRPr="00544404">
        <w:rPr>
          <w:bCs/>
          <w:szCs w:val="22"/>
        </w:rPr>
        <w:t xml:space="preserve">lattice constants over the </w:t>
      </w:r>
      <w:r w:rsidR="00D2537C">
        <w:rPr>
          <w:bCs/>
          <w:szCs w:val="22"/>
        </w:rPr>
        <w:t>entire</w:t>
      </w:r>
      <w:r w:rsidR="00544404" w:rsidRPr="00544404">
        <w:rPr>
          <w:bCs/>
          <w:szCs w:val="22"/>
        </w:rPr>
        <w:t xml:space="preserve"> sample </w:t>
      </w:r>
      <w:r w:rsidR="00D2537C">
        <w:rPr>
          <w:bCs/>
          <w:szCs w:val="22"/>
        </w:rPr>
        <w:t>satisfy the</w:t>
      </w:r>
      <w:r w:rsidR="00544404" w:rsidRPr="00544404">
        <w:rPr>
          <w:bCs/>
          <w:szCs w:val="22"/>
        </w:rPr>
        <w:t xml:space="preserve"> restrictions of a</w:t>
      </w:r>
      <w:r w:rsidR="00544404">
        <w:rPr>
          <w:bCs/>
          <w:szCs w:val="22"/>
        </w:rPr>
        <w:t xml:space="preserve"> </w:t>
      </w:r>
      <w:r w:rsidR="00544404" w:rsidRPr="00544404">
        <w:rPr>
          <w:bCs/>
          <w:szCs w:val="22"/>
        </w:rPr>
        <w:t>given lattice symmetry</w:t>
      </w:r>
      <w:r w:rsidR="00D617EC">
        <w:rPr>
          <w:bCs/>
          <w:szCs w:val="22"/>
        </w:rPr>
        <w:t xml:space="preserve">. </w:t>
      </w:r>
      <w:r w:rsidR="00D2537C">
        <w:rPr>
          <w:bCs/>
          <w:szCs w:val="22"/>
        </w:rPr>
        <w:t>Consequently</w:t>
      </w:r>
      <w:r w:rsidR="00D617EC">
        <w:rPr>
          <w:bCs/>
          <w:szCs w:val="22"/>
        </w:rPr>
        <w:t>,</w:t>
      </w:r>
      <w:r w:rsidR="00D617EC" w:rsidRPr="00544404">
        <w:rPr>
          <w:bCs/>
          <w:szCs w:val="22"/>
        </w:rPr>
        <w:t xml:space="preserve"> peak broadening</w:t>
      </w:r>
      <w:r w:rsidR="00D617EC">
        <w:rPr>
          <w:bCs/>
          <w:szCs w:val="22"/>
        </w:rPr>
        <w:t xml:space="preserve"> </w:t>
      </w:r>
      <w:r w:rsidR="00D617EC">
        <w:t>can</w:t>
      </w:r>
      <w:r w:rsidR="00D2537C">
        <w:t xml:space="preserve"> also</w:t>
      </w:r>
      <w:r w:rsidR="00D617EC">
        <w:t xml:space="preserve"> be expressed</w:t>
      </w:r>
      <w:r w:rsidR="00D617EC">
        <w:rPr>
          <w:bCs/>
          <w:szCs w:val="22"/>
        </w:rPr>
        <w:t xml:space="preserve"> as fourth-order polynomials in </w:t>
      </w:r>
      <m:oMath>
        <m:r>
          <w:rPr>
            <w:rFonts w:ascii="Cambria Math" w:hAnsi="Cambria Math"/>
            <w:szCs w:val="22"/>
          </w:rPr>
          <m:t>h, k, l</m:t>
        </m:r>
      </m:oMath>
      <w:r w:rsidR="00D2537C">
        <w:rPr>
          <w:bCs/>
          <w:szCs w:val="22"/>
        </w:rPr>
        <w:t>.</w:t>
      </w:r>
      <w:r w:rsidR="00D617EC">
        <w:rPr>
          <w:bCs/>
          <w:szCs w:val="22"/>
        </w:rPr>
        <w:t xml:space="preserve"> </w:t>
      </w:r>
      <w:r w:rsidR="00FC34C4" w:rsidRPr="00FC34C4">
        <w:t>However, anisotropic peak broadening caused by the lattice relaxation gives more constraints [2] between the</w:t>
      </w:r>
      <w:r w:rsidR="00FC34C4"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S</m:t>
            </m:r>
          </m:e>
          <m:sub>
            <m:r>
              <w:rPr>
                <w:rFonts w:ascii="Cambria Math" w:hAnsi="Cambria Math"/>
                <w:szCs w:val="22"/>
              </w:rPr>
              <m:t>HKL</m:t>
            </m:r>
          </m:sub>
        </m:sSub>
      </m:oMath>
      <w:r w:rsidR="00FC34C4" w:rsidRPr="00FC34C4">
        <w:t xml:space="preserve"> coefficients as compared with those listed in [3, 4].</w:t>
      </w:r>
      <w:r w:rsidR="00FC34C4">
        <w:t xml:space="preserve"> </w:t>
      </w:r>
      <w:r w:rsidR="00D2537C" w:rsidRPr="00D2537C">
        <w:t>The seminal paper</w:t>
      </w:r>
      <w:r w:rsidR="00B52B5B">
        <w:t>s</w:t>
      </w:r>
      <w:r w:rsidR="00D2537C" w:rsidRPr="00D2537C">
        <w:t xml:space="preserve"> </w:t>
      </w:r>
      <w:r w:rsidR="00C0058E">
        <w:t>by</w:t>
      </w:r>
      <w:r w:rsidR="00B52B5B">
        <w:t xml:space="preserve"> Popa [</w:t>
      </w:r>
      <w:r w:rsidR="0005562A">
        <w:t>3</w:t>
      </w:r>
      <w:r w:rsidR="00B52B5B">
        <w:t>] and</w:t>
      </w:r>
      <w:r w:rsidR="00D2537C" w:rsidRPr="00D2537C">
        <w:t xml:space="preserve"> Stephens [</w:t>
      </w:r>
      <w:r w:rsidR="0005562A">
        <w:t>4</w:t>
      </w:r>
      <w:r w:rsidR="00D2537C" w:rsidRPr="00D2537C">
        <w:t xml:space="preserve">] and the recent paper by </w:t>
      </w:r>
      <w:proofErr w:type="spellStart"/>
      <w:r w:rsidR="00D2537C" w:rsidRPr="00D2537C">
        <w:t>Gregorkiewitz</w:t>
      </w:r>
      <w:proofErr w:type="spellEnd"/>
      <w:r w:rsidR="00D2537C" w:rsidRPr="00D2537C">
        <w:t xml:space="preserve"> </w:t>
      </w:r>
      <w:r w:rsidR="00C0058E" w:rsidRPr="00AE56A3">
        <w:t>&amp;</w:t>
      </w:r>
      <w:r w:rsidR="00D2537C" w:rsidRPr="00D2537C">
        <w:t xml:space="preserve"> Boschetti [</w:t>
      </w:r>
      <w:r w:rsidR="00C0058E">
        <w:t>1</w:t>
      </w:r>
      <w:r w:rsidR="00D2537C" w:rsidRPr="00D2537C">
        <w:t xml:space="preserve">] are connected by expressing the </w:t>
      </w:r>
      <m:oMath>
        <m:sSub>
          <m:sSubPr>
            <m:ctrlPr>
              <w:rPr>
                <w:rFonts w:ascii="Cambria Math" w:hAnsi="Cambria Math"/>
                <w:bCs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S</m:t>
            </m:r>
          </m:e>
          <m:sub>
            <m:r>
              <w:rPr>
                <w:rFonts w:ascii="Cambria Math" w:hAnsi="Cambria Math"/>
                <w:szCs w:val="22"/>
              </w:rPr>
              <m:t>HKL</m:t>
            </m:r>
          </m:sub>
        </m:sSub>
      </m:oMath>
      <w:r w:rsidR="00D2537C">
        <w:rPr>
          <w:bCs/>
          <w:szCs w:val="22"/>
        </w:rPr>
        <w:t xml:space="preserve"> </w:t>
      </w:r>
      <w:r w:rsidR="00D2537C" w:rsidRPr="00D2537C">
        <w:t>parameters in terms of lattice parameter increments [</w:t>
      </w:r>
      <w:r w:rsidR="00C0058E">
        <w:t>2</w:t>
      </w:r>
      <w:r w:rsidR="00D2537C" w:rsidRPr="00D2537C">
        <w:t>].</w:t>
      </w:r>
    </w:p>
    <w:p w14:paraId="1FA30706" w14:textId="77777777" w:rsidR="00FC34C4" w:rsidRPr="005C7E6F" w:rsidRDefault="00FC34C4"/>
    <w:p w14:paraId="2A967279" w14:textId="468AB68C" w:rsidR="00683EC3" w:rsidRPr="00683EC3" w:rsidRDefault="00241DA7" w:rsidP="00683EC3">
      <w:pPr>
        <w:pStyle w:val="Heading4"/>
        <w:rPr>
          <w:lang w:val="pl-PL"/>
        </w:rPr>
      </w:pPr>
      <w:r>
        <w:t>[1]</w:t>
      </w:r>
      <w:r w:rsidR="00683EC3">
        <w:t xml:space="preserve"> </w:t>
      </w:r>
      <w:proofErr w:type="spellStart"/>
      <w:r w:rsidR="00683EC3" w:rsidRPr="00407B2D">
        <w:t>Gregorkiewitz</w:t>
      </w:r>
      <w:proofErr w:type="spellEnd"/>
      <w:r w:rsidR="00683EC3" w:rsidRPr="00407B2D">
        <w:t xml:space="preserve">, M. &amp; Boschetti, A. (2024). </w:t>
      </w:r>
      <w:r w:rsidR="00683EC3" w:rsidRPr="00FC34C4">
        <w:rPr>
          <w:i/>
          <w:iCs/>
        </w:rPr>
        <w:t xml:space="preserve">Acta </w:t>
      </w:r>
      <w:proofErr w:type="spellStart"/>
      <w:r w:rsidR="00683EC3" w:rsidRPr="00FC34C4">
        <w:rPr>
          <w:i/>
          <w:iCs/>
        </w:rPr>
        <w:t>Cryst</w:t>
      </w:r>
      <w:proofErr w:type="spellEnd"/>
      <w:r w:rsidR="00683EC3" w:rsidRPr="00FC34C4">
        <w:rPr>
          <w:i/>
          <w:iCs/>
        </w:rPr>
        <w:t xml:space="preserve">. </w:t>
      </w:r>
      <w:r w:rsidR="00683EC3" w:rsidRPr="00683EC3">
        <w:rPr>
          <w:i/>
          <w:iCs/>
          <w:lang w:val="pl-PL"/>
        </w:rPr>
        <w:t>A</w:t>
      </w:r>
      <w:r w:rsidR="00683EC3" w:rsidRPr="00683EC3">
        <w:rPr>
          <w:lang w:val="pl-PL"/>
        </w:rPr>
        <w:t xml:space="preserve"> </w:t>
      </w:r>
      <w:r w:rsidR="00683EC3" w:rsidRPr="00683EC3">
        <w:rPr>
          <w:b/>
          <w:lang w:val="pl-PL"/>
        </w:rPr>
        <w:t>80</w:t>
      </w:r>
      <w:r w:rsidR="00683EC3" w:rsidRPr="00683EC3">
        <w:rPr>
          <w:lang w:val="pl-PL"/>
        </w:rPr>
        <w:t>, 439.</w:t>
      </w:r>
    </w:p>
    <w:p w14:paraId="0E168D75" w14:textId="6A4039F7" w:rsidR="00C23610" w:rsidRPr="00AD4EE4" w:rsidRDefault="00241DA7">
      <w:pPr>
        <w:pStyle w:val="Heading4"/>
        <w:rPr>
          <w:lang w:val="pl-PL"/>
        </w:rPr>
      </w:pPr>
      <w:r>
        <w:rPr>
          <w:lang w:val="pl-PL"/>
        </w:rPr>
        <w:t>[2]</w:t>
      </w:r>
      <w:r w:rsidR="00563603" w:rsidRPr="00563603">
        <w:rPr>
          <w:lang w:val="pl-PL"/>
        </w:rPr>
        <w:t xml:space="preserve"> Fabrykiewicz, P</w:t>
      </w:r>
      <w:r w:rsidR="00F55885">
        <w:rPr>
          <w:lang w:val="pl-PL"/>
        </w:rPr>
        <w:t>.</w:t>
      </w:r>
      <w:r w:rsidR="00563603" w:rsidRPr="00563603">
        <w:rPr>
          <w:lang w:val="pl-PL"/>
        </w:rPr>
        <w:t xml:space="preserve"> (2025) </w:t>
      </w:r>
      <w:r w:rsidR="00563603" w:rsidRPr="00563603">
        <w:rPr>
          <w:i/>
          <w:iCs/>
          <w:lang w:val="pl-PL"/>
        </w:rPr>
        <w:t xml:space="preserve">Acta </w:t>
      </w:r>
      <w:proofErr w:type="spellStart"/>
      <w:r w:rsidR="00563603" w:rsidRPr="00563603">
        <w:rPr>
          <w:i/>
          <w:iCs/>
          <w:lang w:val="pl-PL"/>
        </w:rPr>
        <w:t>Cryst</w:t>
      </w:r>
      <w:proofErr w:type="spellEnd"/>
      <w:r w:rsidR="00563603" w:rsidRPr="00563603">
        <w:rPr>
          <w:i/>
          <w:iCs/>
          <w:lang w:val="pl-PL"/>
        </w:rPr>
        <w:t xml:space="preserve">. </w:t>
      </w:r>
      <w:r w:rsidR="00563603" w:rsidRPr="00AD4EE4">
        <w:rPr>
          <w:i/>
          <w:iCs/>
          <w:lang w:val="pl-PL"/>
        </w:rPr>
        <w:t>A</w:t>
      </w:r>
      <w:r w:rsidR="00563603" w:rsidRPr="00AD4EE4">
        <w:rPr>
          <w:lang w:val="pl-PL"/>
        </w:rPr>
        <w:t xml:space="preserve"> </w:t>
      </w:r>
      <w:r w:rsidR="00563603" w:rsidRPr="00AD4EE4">
        <w:rPr>
          <w:b/>
          <w:bCs w:val="0"/>
          <w:lang w:val="pl-PL"/>
        </w:rPr>
        <w:t>81</w:t>
      </w:r>
      <w:r w:rsidR="00563603" w:rsidRPr="00AD4EE4">
        <w:rPr>
          <w:lang w:val="pl-PL"/>
        </w:rPr>
        <w:t>, 245.</w:t>
      </w:r>
      <w:r w:rsidRPr="00AD4EE4">
        <w:rPr>
          <w:lang w:val="pl-PL"/>
        </w:rPr>
        <w:t xml:space="preserve"> </w:t>
      </w:r>
    </w:p>
    <w:p w14:paraId="41128286" w14:textId="352589FA" w:rsidR="00C23610" w:rsidRDefault="00241DA7">
      <w:pPr>
        <w:pStyle w:val="Heading4"/>
      </w:pPr>
      <w:r w:rsidRPr="00AD4EE4">
        <w:rPr>
          <w:lang w:val="de-DE"/>
        </w:rPr>
        <w:t xml:space="preserve">[3] </w:t>
      </w:r>
      <w:r w:rsidR="001F5955" w:rsidRPr="00AD4EE4">
        <w:rPr>
          <w:lang w:val="de-DE"/>
        </w:rPr>
        <w:t xml:space="preserve">Popa, N. C. (1998). </w:t>
      </w:r>
      <w:r w:rsidR="001F5955" w:rsidRPr="00AD4EE4">
        <w:rPr>
          <w:i/>
          <w:iCs/>
          <w:lang w:val="de-DE"/>
        </w:rPr>
        <w:t xml:space="preserve">J. Appl. </w:t>
      </w:r>
      <w:proofErr w:type="spellStart"/>
      <w:r w:rsidR="001F5955" w:rsidRPr="001F5955">
        <w:rPr>
          <w:i/>
          <w:iCs/>
        </w:rPr>
        <w:t>Cryst</w:t>
      </w:r>
      <w:proofErr w:type="spellEnd"/>
      <w:r w:rsidR="001F5955" w:rsidRPr="001F5955">
        <w:rPr>
          <w:i/>
          <w:iCs/>
        </w:rPr>
        <w:t xml:space="preserve">. </w:t>
      </w:r>
      <w:r w:rsidR="001F5955" w:rsidRPr="001F5955">
        <w:rPr>
          <w:b/>
        </w:rPr>
        <w:t>31</w:t>
      </w:r>
      <w:r w:rsidR="001F5955" w:rsidRPr="001F5955">
        <w:t>, 176.</w:t>
      </w:r>
    </w:p>
    <w:p w14:paraId="393842E2" w14:textId="0F2CED6A" w:rsidR="00507BDA" w:rsidRDefault="00241DA7" w:rsidP="00507BDA">
      <w:pPr>
        <w:pStyle w:val="Heading4"/>
      </w:pPr>
      <w:r>
        <w:t>[4]</w:t>
      </w:r>
      <w:r w:rsidR="00507BDA" w:rsidRPr="001F5955">
        <w:t xml:space="preserve"> </w:t>
      </w:r>
      <w:r w:rsidR="00507BDA" w:rsidRPr="00507BDA">
        <w:t xml:space="preserve">Stephens, P. W. (1999). </w:t>
      </w:r>
      <w:r w:rsidR="00507BDA" w:rsidRPr="00507BDA">
        <w:rPr>
          <w:i/>
          <w:iCs/>
        </w:rPr>
        <w:t xml:space="preserve">J. Appl. </w:t>
      </w:r>
      <w:proofErr w:type="spellStart"/>
      <w:r w:rsidR="00507BDA" w:rsidRPr="00507BDA">
        <w:rPr>
          <w:i/>
          <w:iCs/>
        </w:rPr>
        <w:t>Cryst</w:t>
      </w:r>
      <w:proofErr w:type="spellEnd"/>
      <w:r w:rsidR="00507BDA" w:rsidRPr="00507BDA">
        <w:rPr>
          <w:i/>
          <w:iCs/>
        </w:rPr>
        <w:t>.</w:t>
      </w:r>
      <w:r w:rsidR="00507BDA" w:rsidRPr="00507BDA">
        <w:t xml:space="preserve"> </w:t>
      </w:r>
      <w:r w:rsidR="00507BDA" w:rsidRPr="00507BDA">
        <w:rPr>
          <w:b/>
          <w:bCs w:val="0"/>
        </w:rPr>
        <w:t>32</w:t>
      </w:r>
      <w:r w:rsidR="00507BDA" w:rsidRPr="00507BDA">
        <w:t>, 281.</w:t>
      </w:r>
    </w:p>
    <w:p w14:paraId="3DF0B1C1" w14:textId="77777777" w:rsidR="008A0BBC" w:rsidRPr="008A0BBC" w:rsidRDefault="008A0BBC" w:rsidP="008A0BBC">
      <w:pPr>
        <w:rPr>
          <w:lang w:eastAsia="cs-CZ"/>
        </w:rPr>
      </w:pPr>
    </w:p>
    <w:p w14:paraId="7E2621FF" w14:textId="48D32885" w:rsidR="00C23610" w:rsidRDefault="00563603" w:rsidP="00563603">
      <w:pPr>
        <w:pStyle w:val="Acknowledgement"/>
        <w:rPr>
          <w:lang w:eastAsia="cs-CZ"/>
        </w:rPr>
      </w:pPr>
      <w:r w:rsidRPr="00563603">
        <w:rPr>
          <w:lang w:eastAsia="cs-CZ"/>
        </w:rPr>
        <w:t>Thanks are due to Martin Meven (RWTH Aachen University</w:t>
      </w:r>
      <w:r>
        <w:rPr>
          <w:lang w:eastAsia="cs-CZ"/>
        </w:rPr>
        <w:t xml:space="preserve"> </w:t>
      </w:r>
      <w:r w:rsidRPr="00563603">
        <w:rPr>
          <w:lang w:eastAsia="cs-CZ"/>
        </w:rPr>
        <w:t xml:space="preserve">and </w:t>
      </w:r>
      <w:proofErr w:type="spellStart"/>
      <w:r w:rsidRPr="00563603">
        <w:rPr>
          <w:lang w:eastAsia="cs-CZ"/>
        </w:rPr>
        <w:t>Forschungszentrum</w:t>
      </w:r>
      <w:proofErr w:type="spellEnd"/>
      <w:r w:rsidRPr="00563603">
        <w:rPr>
          <w:lang w:eastAsia="cs-CZ"/>
        </w:rPr>
        <w:t xml:space="preserve"> J</w:t>
      </w:r>
      <w:r w:rsidR="001F5955" w:rsidRPr="001F5955">
        <w:rPr>
          <w:lang w:eastAsia="cs-CZ"/>
        </w:rPr>
        <w:t>ü</w:t>
      </w:r>
      <w:r w:rsidRPr="00563603">
        <w:rPr>
          <w:lang w:eastAsia="cs-CZ"/>
        </w:rPr>
        <w:t>lich GmbH), Rados</w:t>
      </w:r>
      <w:r w:rsidRPr="00563603">
        <w:rPr>
          <w:rFonts w:hint="eastAsia"/>
          <w:lang w:eastAsia="cs-CZ"/>
        </w:rPr>
        <w:t>ł</w:t>
      </w:r>
      <w:r w:rsidRPr="00563603">
        <w:rPr>
          <w:lang w:eastAsia="cs-CZ"/>
        </w:rPr>
        <w:t xml:space="preserve">aw </w:t>
      </w:r>
      <w:proofErr w:type="spellStart"/>
      <w:r w:rsidRPr="00563603">
        <w:rPr>
          <w:lang w:eastAsia="cs-CZ"/>
        </w:rPr>
        <w:t>Przenios</w:t>
      </w:r>
      <w:r w:rsidRPr="00563603">
        <w:rPr>
          <w:rFonts w:hint="eastAsia"/>
          <w:lang w:eastAsia="cs-CZ"/>
        </w:rPr>
        <w:t>ł</w:t>
      </w:r>
      <w:r w:rsidRPr="00563603">
        <w:rPr>
          <w:lang w:eastAsia="cs-CZ"/>
        </w:rPr>
        <w:t>o</w:t>
      </w:r>
      <w:proofErr w:type="spellEnd"/>
      <w:r>
        <w:rPr>
          <w:lang w:eastAsia="cs-CZ"/>
        </w:rPr>
        <w:t xml:space="preserve"> </w:t>
      </w:r>
      <w:r w:rsidRPr="00563603">
        <w:rPr>
          <w:lang w:eastAsia="cs-CZ"/>
        </w:rPr>
        <w:t>and Izabela Sosnowska (University of Warsaw) for inspiring</w:t>
      </w:r>
      <w:r>
        <w:rPr>
          <w:lang w:eastAsia="cs-CZ"/>
        </w:rPr>
        <w:t xml:space="preserve"> </w:t>
      </w:r>
      <w:r w:rsidRPr="00563603">
        <w:rPr>
          <w:lang w:eastAsia="cs-CZ"/>
        </w:rPr>
        <w:t>discussions.</w:t>
      </w:r>
    </w:p>
    <w:sectPr w:rsidR="00C23610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942D4" w14:textId="77777777" w:rsidR="00601DA8" w:rsidRDefault="00601DA8">
      <w:pPr>
        <w:spacing w:after="0"/>
      </w:pPr>
      <w:r>
        <w:separator/>
      </w:r>
    </w:p>
  </w:endnote>
  <w:endnote w:type="continuationSeparator" w:id="0">
    <w:p w14:paraId="16C1B7E3" w14:textId="77777777" w:rsidR="00601DA8" w:rsidRDefault="00601D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94341" w14:textId="77777777" w:rsidR="00C23610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61E5ED8D" w14:textId="77777777" w:rsidR="00C23610" w:rsidRDefault="00C23610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81282" w14:textId="77777777" w:rsidR="00601DA8" w:rsidRDefault="00601DA8">
      <w:pPr>
        <w:spacing w:after="0"/>
      </w:pPr>
      <w:r>
        <w:separator/>
      </w:r>
    </w:p>
  </w:footnote>
  <w:footnote w:type="continuationSeparator" w:id="0">
    <w:p w14:paraId="712F8B6F" w14:textId="77777777" w:rsidR="00601DA8" w:rsidRDefault="00601D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1A4E5" w14:textId="77777777" w:rsidR="00C23610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10"/>
    <w:rsid w:val="00024415"/>
    <w:rsid w:val="0005562A"/>
    <w:rsid w:val="0015295A"/>
    <w:rsid w:val="001773F8"/>
    <w:rsid w:val="00191C82"/>
    <w:rsid w:val="001E5DB4"/>
    <w:rsid w:val="001F5955"/>
    <w:rsid w:val="0022080F"/>
    <w:rsid w:val="00241DA7"/>
    <w:rsid w:val="002721CA"/>
    <w:rsid w:val="002C0732"/>
    <w:rsid w:val="002D486E"/>
    <w:rsid w:val="0030245F"/>
    <w:rsid w:val="00407B2D"/>
    <w:rsid w:val="00420B9D"/>
    <w:rsid w:val="00487DEA"/>
    <w:rsid w:val="004F2E89"/>
    <w:rsid w:val="00507BDA"/>
    <w:rsid w:val="00544404"/>
    <w:rsid w:val="00563603"/>
    <w:rsid w:val="005C7E6F"/>
    <w:rsid w:val="005F7C91"/>
    <w:rsid w:val="00601DA8"/>
    <w:rsid w:val="00651D5A"/>
    <w:rsid w:val="00674EF5"/>
    <w:rsid w:val="00683EC3"/>
    <w:rsid w:val="008732A1"/>
    <w:rsid w:val="008A0BBC"/>
    <w:rsid w:val="008A3F0D"/>
    <w:rsid w:val="008A75D8"/>
    <w:rsid w:val="008F5486"/>
    <w:rsid w:val="009528BF"/>
    <w:rsid w:val="00976309"/>
    <w:rsid w:val="009A0BA1"/>
    <w:rsid w:val="009E4D8D"/>
    <w:rsid w:val="009E5EED"/>
    <w:rsid w:val="00A17DBE"/>
    <w:rsid w:val="00AB5454"/>
    <w:rsid w:val="00AC734E"/>
    <w:rsid w:val="00AD4EE4"/>
    <w:rsid w:val="00AE56A3"/>
    <w:rsid w:val="00B1728C"/>
    <w:rsid w:val="00B350AC"/>
    <w:rsid w:val="00B52B5B"/>
    <w:rsid w:val="00BF4812"/>
    <w:rsid w:val="00C0058E"/>
    <w:rsid w:val="00C23610"/>
    <w:rsid w:val="00C4292D"/>
    <w:rsid w:val="00CC61FA"/>
    <w:rsid w:val="00D060CE"/>
    <w:rsid w:val="00D10C17"/>
    <w:rsid w:val="00D148F0"/>
    <w:rsid w:val="00D2537C"/>
    <w:rsid w:val="00D617EC"/>
    <w:rsid w:val="00DF55C6"/>
    <w:rsid w:val="00EF53B9"/>
    <w:rsid w:val="00F15B8B"/>
    <w:rsid w:val="00F467A9"/>
    <w:rsid w:val="00F55885"/>
    <w:rsid w:val="00FB079F"/>
    <w:rsid w:val="00FC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28EFA"/>
  <w15:docId w15:val="{C109988D-B76C-4487-AC8E-76BEFF7A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245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Piotr Fabrykiewicz</cp:lastModifiedBy>
  <cp:revision>48</cp:revision>
  <dcterms:created xsi:type="dcterms:W3CDTF">2025-05-06T12:39:00Z</dcterms:created>
  <dcterms:modified xsi:type="dcterms:W3CDTF">2025-05-08T05:43:00Z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