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1A16E" w14:textId="1E330A48" w:rsidR="00496748" w:rsidRDefault="008F7E8E">
      <w:pPr>
        <w:pStyle w:val="Nadpis1"/>
      </w:pPr>
      <w:r>
        <w:t>Isothiouronium salt at the borderline of disorder and solid solution of polymorphs</w:t>
      </w:r>
    </w:p>
    <w:p w14:paraId="6D2AB7C0" w14:textId="5E14A21F" w:rsidR="00496748" w:rsidRDefault="002B2CFF">
      <w:pPr>
        <w:pStyle w:val="Nadpis2"/>
      </w:pPr>
      <w:r>
        <w:t>V. Eigner</w:t>
      </w:r>
      <w:r>
        <w:rPr>
          <w:vertAlign w:val="superscript"/>
        </w:rPr>
        <w:t>1</w:t>
      </w:r>
      <w:r w:rsidRPr="002B2CFF">
        <w:t>,</w:t>
      </w:r>
      <w:r w:rsidRPr="002B2CFF">
        <w:t xml:space="preserve"> </w:t>
      </w:r>
      <w:bookmarkStart w:id="0" w:name="_GoBack"/>
      <w:bookmarkEnd w:id="0"/>
      <w:r w:rsidR="00E14625">
        <w:t>L. Žofáková</w:t>
      </w:r>
      <w:r w:rsidR="00E14625">
        <w:rPr>
          <w:vertAlign w:val="superscript"/>
        </w:rPr>
        <w:t>1</w:t>
      </w:r>
      <w:r w:rsidR="00E14625">
        <w:t>, M. Hušák</w:t>
      </w:r>
      <w:r w:rsidR="00E14625">
        <w:rPr>
          <w:vertAlign w:val="superscript"/>
        </w:rPr>
        <w:t>1</w:t>
      </w:r>
      <w:r w:rsidR="00E14625">
        <w:t xml:space="preserve"> </w:t>
      </w:r>
    </w:p>
    <w:p w14:paraId="1AD822D5" w14:textId="425C2063" w:rsidR="00496748" w:rsidRDefault="00967916">
      <w:pPr>
        <w:pStyle w:val="Nadpis3"/>
      </w:pPr>
      <w:r>
        <w:rPr>
          <w:vertAlign w:val="superscript"/>
        </w:rPr>
        <w:t>1</w:t>
      </w:r>
      <w:r w:rsidR="00E14625" w:rsidRPr="00E14625">
        <w:t xml:space="preserve">University of Chemistry and Technology, Prague, </w:t>
      </w:r>
      <w:proofErr w:type="spellStart"/>
      <w:r w:rsidR="00E14625" w:rsidRPr="00E14625">
        <w:t>Technická</w:t>
      </w:r>
      <w:proofErr w:type="spellEnd"/>
      <w:r w:rsidR="00E14625" w:rsidRPr="00E14625">
        <w:t xml:space="preserve"> 5, Prague 166 28, Czech Republic</w:t>
      </w:r>
    </w:p>
    <w:p w14:paraId="70BD1660" w14:textId="184E7729" w:rsidR="00496748" w:rsidRDefault="00E14625">
      <w:pPr>
        <w:pStyle w:val="Nadpis3"/>
        <w:rPr>
          <w:sz w:val="18"/>
          <w:szCs w:val="18"/>
        </w:rPr>
      </w:pPr>
      <w:r>
        <w:t>eignerv@vscht.cz</w:t>
      </w:r>
      <w:r>
        <w:rPr>
          <w:lang w:eastAsia="de-DE"/>
        </w:rPr>
        <w:br/>
      </w:r>
    </w:p>
    <w:p w14:paraId="7E94D6D3" w14:textId="53C5BD06" w:rsidR="00110B1A" w:rsidRDefault="00110B1A">
      <w:r w:rsidRPr="00110B1A">
        <w:t xml:space="preserve">The isothiouronium salts </w:t>
      </w:r>
      <w:r w:rsidR="005C43FC">
        <w:t xml:space="preserve">are a </w:t>
      </w:r>
      <w:r w:rsidR="00897565">
        <w:t xml:space="preserve">variable group of compounds produced by </w:t>
      </w:r>
      <w:r w:rsidRPr="00110B1A">
        <w:t xml:space="preserve">S-alkylation of thiourea [1]. </w:t>
      </w:r>
      <w:r w:rsidR="00897565">
        <w:t xml:space="preserve">The hydrogen atoms of positively charged isothiouronium group often form charge assisted hydrogen bonds with corresponding anion. For this reason they were used in anion receptor design </w:t>
      </w:r>
      <w:r w:rsidRPr="00110B1A">
        <w:t xml:space="preserve">[2], recently they were investigated </w:t>
      </w:r>
      <w:r w:rsidR="0073162F">
        <w:t>for their ability to form anticandidal polymers</w:t>
      </w:r>
      <w:r w:rsidR="005B5CD0">
        <w:t xml:space="preserve"> [3]</w:t>
      </w:r>
      <w:r w:rsidR="0073162F">
        <w:t xml:space="preserve">. </w:t>
      </w:r>
      <w:r w:rsidR="005B5CD0">
        <w:t>Among the most notable is their activity against the lung and prostate cancer cell lines [4]</w:t>
      </w:r>
      <w:r w:rsidRPr="00110B1A">
        <w:t xml:space="preserve">. </w:t>
      </w:r>
    </w:p>
    <w:p w14:paraId="46DECAE8" w14:textId="41F301C6" w:rsidR="0071178B" w:rsidRDefault="005B5CD0">
      <w:r>
        <w:t xml:space="preserve">In our studies we have focused on isothiouronium salts bearing trifluoromethyl groups. Among them </w:t>
      </w:r>
      <w:r w:rsidRPr="00110B1A">
        <w:t>2-(3</w:t>
      </w:r>
      <w:proofErr w:type="gramStart"/>
      <w:r w:rsidRPr="00110B1A">
        <w:t>,5</w:t>
      </w:r>
      <w:proofErr w:type="gramEnd"/>
      <w:r w:rsidRPr="00110B1A">
        <w:t>-bis(trifluoromethyl)benzyl)isothiouronium</w:t>
      </w:r>
      <w:r>
        <w:t xml:space="preserve"> bromide stood out with its significant disorder over two positions. Forming two conformations, </w:t>
      </w:r>
      <w:r w:rsidR="00A704F6">
        <w:t>conformation 1</w:t>
      </w:r>
      <w:r>
        <w:t xml:space="preserve"> with C9-S8-C7-C1 torsion angle </w:t>
      </w:r>
      <w:r w:rsidR="00FC204D">
        <w:t>value</w:t>
      </w:r>
      <w:r>
        <w:t xml:space="preserve"> </w:t>
      </w:r>
      <w:r w:rsidR="00A704F6">
        <w:t xml:space="preserve">of </w:t>
      </w:r>
      <w:r w:rsidR="008F7E8E">
        <w:t>-119</w:t>
      </w:r>
      <w:r w:rsidR="00FC204D">
        <w:t>.</w:t>
      </w:r>
      <w:r w:rsidR="008F7E8E">
        <w:t>8(2)</w:t>
      </w:r>
      <w:r w:rsidR="00FC204D">
        <w:t xml:space="preserve">°, and </w:t>
      </w:r>
      <w:r w:rsidR="00A704F6">
        <w:t xml:space="preserve">conformation 2 </w:t>
      </w:r>
      <w:r w:rsidR="00B90BB1">
        <w:t>with</w:t>
      </w:r>
      <w:r w:rsidR="00FC204D">
        <w:t xml:space="preserve"> torsion angle </w:t>
      </w:r>
      <w:r w:rsidR="00A704F6">
        <w:t xml:space="preserve">value of </w:t>
      </w:r>
      <w:r w:rsidR="00B90BB1" w:rsidRPr="00B90BB1">
        <w:noBreakHyphen/>
      </w:r>
      <w:r w:rsidR="00FC204D">
        <w:t>6</w:t>
      </w:r>
      <w:r w:rsidR="008F7E8E">
        <w:t>8</w:t>
      </w:r>
      <w:r w:rsidR="00FC204D">
        <w:t>.</w:t>
      </w:r>
      <w:r w:rsidR="008F7E8E">
        <w:t>5(4)</w:t>
      </w:r>
      <w:r w:rsidR="00FC204D">
        <w:t>°</w:t>
      </w:r>
      <w:r>
        <w:t xml:space="preserve">. This </w:t>
      </w:r>
      <w:r w:rsidR="005C43FC">
        <w:t>is</w:t>
      </w:r>
      <w:r>
        <w:t xml:space="preserve"> a rare case, when a majori</w:t>
      </w:r>
      <w:r w:rsidR="00FC204D">
        <w:t>ty of the molecule is disordered, but the crystal structure itself remains almost unchanged. The conformation change result</w:t>
      </w:r>
      <w:r w:rsidR="005C43FC">
        <w:t>s</w:t>
      </w:r>
      <w:r w:rsidR="00FC204D">
        <w:t xml:space="preserve"> in switching of π stacking interactions. We have noticed variability of lattice parameters of</w:t>
      </w:r>
      <w:r w:rsidR="005C43FC">
        <w:t xml:space="preserve"> large single crystal fragments, mostly </w:t>
      </w:r>
      <w:r w:rsidR="005C43FC">
        <w:rPr>
          <w:lang w:val="en-US"/>
        </w:rPr>
        <w:t>affecting the monoclinic β angle, which varies from 90.84</w:t>
      </w:r>
      <w:r w:rsidR="008F7E8E">
        <w:rPr>
          <w:lang w:val="en-US"/>
        </w:rPr>
        <w:t>8(1)</w:t>
      </w:r>
      <w:r w:rsidR="005C43FC">
        <w:rPr>
          <w:lang w:val="en-US"/>
        </w:rPr>
        <w:t>° to 91.32</w:t>
      </w:r>
      <w:r w:rsidR="008F7E8E">
        <w:rPr>
          <w:lang w:val="en-US"/>
        </w:rPr>
        <w:t>1(4)</w:t>
      </w:r>
      <w:r w:rsidR="005C43FC">
        <w:rPr>
          <w:lang w:val="en-US"/>
        </w:rPr>
        <w:t>° while the occupancy ratio varies from 0.590</w:t>
      </w:r>
      <w:r w:rsidR="008F7E8E">
        <w:rPr>
          <w:lang w:val="en-US"/>
        </w:rPr>
        <w:t>(4)</w:t>
      </w:r>
      <w:r w:rsidR="005C43FC">
        <w:rPr>
          <w:lang w:val="en-US"/>
        </w:rPr>
        <w:t>:0.410</w:t>
      </w:r>
      <w:r w:rsidR="008F7E8E">
        <w:rPr>
          <w:lang w:val="en-US"/>
        </w:rPr>
        <w:t>(4)</w:t>
      </w:r>
      <w:r w:rsidR="005C43FC">
        <w:rPr>
          <w:lang w:val="en-US"/>
        </w:rPr>
        <w:t xml:space="preserve"> to 0.359</w:t>
      </w:r>
      <w:r w:rsidR="008F7E8E">
        <w:rPr>
          <w:lang w:val="en-US"/>
        </w:rPr>
        <w:t>(4)</w:t>
      </w:r>
      <w:r w:rsidR="005C43FC">
        <w:rPr>
          <w:lang w:val="en-US"/>
        </w:rPr>
        <w:t>:0.641</w:t>
      </w:r>
      <w:r w:rsidR="008F7E8E">
        <w:rPr>
          <w:lang w:val="en-US"/>
        </w:rPr>
        <w:t>(4)</w:t>
      </w:r>
      <w:r w:rsidR="005C43FC">
        <w:t>. The dependence appears to be linear, from which we extrapolated the β</w:t>
      </w:r>
      <w:r w:rsidR="00835EDA">
        <w:t xml:space="preserve"> angle</w:t>
      </w:r>
      <w:r w:rsidR="005C43FC">
        <w:t xml:space="preserve"> of expected pure conformations, resulting in β angles of 90.05</w:t>
      </w:r>
      <w:r w:rsidR="00A704F6">
        <w:t>1</w:t>
      </w:r>
      <w:r w:rsidR="005C43FC">
        <w:t xml:space="preserve">° and 92.023°. </w:t>
      </w:r>
      <w:r w:rsidR="0071178B">
        <w:t xml:space="preserve">We have utilized DFT calculations to evaluate the ideal lattice parameters of both conformations </w:t>
      </w:r>
      <w:r w:rsidR="00435E80">
        <w:t>with calculated β angle values of 90.167° and 93.088°.</w:t>
      </w:r>
      <w:r w:rsidR="00A704F6">
        <w:t xml:space="preserve"> According to the DFT calculations the conformation 1 is more stable than conformation 2 with energy difference of </w:t>
      </w:r>
      <w:r w:rsidR="00B90BB1">
        <w:t>-1.49262 kcal/mol.</w:t>
      </w:r>
    </w:p>
    <w:p w14:paraId="572721E1" w14:textId="376D968B" w:rsidR="005B5CD0" w:rsidRDefault="005C43FC">
      <w:r>
        <w:t xml:space="preserve">The </w:t>
      </w:r>
      <w:r w:rsidR="0071178B">
        <w:t>structure was measured i</w:t>
      </w:r>
      <w:r w:rsidR="00835EDA">
        <w:t>n</w:t>
      </w:r>
      <w:r w:rsidR="0071178B">
        <w:t xml:space="preserve"> temperature range 130 to 290 K, to evaluate the possibility of temperature related conformation change. Throughout the whole temperature range the occupancy ratio varie</w:t>
      </w:r>
      <w:r w:rsidR="00A704F6">
        <w:t>s</w:t>
      </w:r>
      <w:r w:rsidR="0071178B">
        <w:t xml:space="preserve"> only within the limit of estimated standard deviation from 0.358(4):0.642(4) to 0.362(4):0.638(4).</w:t>
      </w:r>
      <w:r w:rsidR="00B90BB1">
        <w:t xml:space="preserve"> </w:t>
      </w:r>
    </w:p>
    <w:p w14:paraId="34F92AF4" w14:textId="49DDE76B" w:rsidR="00B90BB1" w:rsidRDefault="00B90BB1">
      <w:r>
        <w:t xml:space="preserve">From the higher stability of conformation 1, difference in lattice parameters, and disorder ratio stability we assume the pure conformations 1 and 2 are two distinct polymorphic forms </w:t>
      </w:r>
      <w:r w:rsidR="00835EDA">
        <w:t xml:space="preserve">and the structures studies are their solid solutions. </w:t>
      </w:r>
    </w:p>
    <w:p w14:paraId="304C24E4" w14:textId="2F79C0A3" w:rsidR="00496748" w:rsidRDefault="0069442F">
      <w:pPr>
        <w:jc w:val="center"/>
      </w:pPr>
      <w:r>
        <w:pict w14:anchorId="349CEA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1;visibility:hidden">
            <o:lock v:ext="edit" selection="t"/>
          </v:shape>
        </w:pict>
      </w:r>
      <w:r w:rsidR="002515B5">
        <w:pict w14:anchorId="218C759D">
          <v:shape id="_x0000_i1025" type="#_x0000_t75" style="width:540.75pt;height:186pt">
            <v:imagedata r:id="rId7" o:title=""/>
          </v:shape>
        </w:pict>
      </w:r>
    </w:p>
    <w:p w14:paraId="7430027C" w14:textId="6585B3FD" w:rsidR="00496748" w:rsidRDefault="00967916">
      <w:pPr>
        <w:pStyle w:val="Nadpis6"/>
      </w:pPr>
      <w:r>
        <w:rPr>
          <w:b/>
        </w:rPr>
        <w:t>Figure 1</w:t>
      </w:r>
      <w:r>
        <w:t xml:space="preserve">. </w:t>
      </w:r>
      <w:r w:rsidR="00110B1A">
        <w:t xml:space="preserve">The disorder of two positions of </w:t>
      </w:r>
      <w:r w:rsidR="00110B1A" w:rsidRPr="00110B1A">
        <w:t>2-(3</w:t>
      </w:r>
      <w:proofErr w:type="gramStart"/>
      <w:r w:rsidR="00110B1A" w:rsidRPr="00110B1A">
        <w:t>,5</w:t>
      </w:r>
      <w:proofErr w:type="gramEnd"/>
      <w:r w:rsidR="00110B1A" w:rsidRPr="00110B1A">
        <w:t>-bis(trifluoromethyl)benzyl)isothiouronium</w:t>
      </w:r>
      <w:r w:rsidR="00110B1A">
        <w:t xml:space="preserve"> bromide</w:t>
      </w:r>
    </w:p>
    <w:p w14:paraId="70DC5012" w14:textId="77777777" w:rsidR="00496748" w:rsidRDefault="00496748">
      <w:pPr>
        <w:rPr>
          <w:lang w:eastAsia="cs-CZ"/>
        </w:rPr>
      </w:pPr>
    </w:p>
    <w:p w14:paraId="5EFA08EA" w14:textId="7FA122EA" w:rsidR="00496748" w:rsidRDefault="00967916">
      <w:pPr>
        <w:pStyle w:val="Nadpis4"/>
      </w:pPr>
      <w:r>
        <w:t xml:space="preserve">[1] </w:t>
      </w:r>
      <w:r w:rsidR="00110B1A" w:rsidRPr="006C45B8">
        <w:rPr>
          <w:szCs w:val="20"/>
        </w:rPr>
        <w:t xml:space="preserve">Speziale, J. A. (1950) </w:t>
      </w:r>
      <w:r w:rsidR="00110B1A" w:rsidRPr="006C45B8">
        <w:rPr>
          <w:i/>
          <w:szCs w:val="20"/>
        </w:rPr>
        <w:t>Org. Synth.</w:t>
      </w:r>
      <w:r w:rsidR="00110B1A" w:rsidRPr="006C45B8">
        <w:rPr>
          <w:szCs w:val="20"/>
        </w:rPr>
        <w:t xml:space="preserve"> </w:t>
      </w:r>
      <w:r w:rsidR="00110B1A" w:rsidRPr="006C45B8">
        <w:rPr>
          <w:b/>
          <w:szCs w:val="20"/>
        </w:rPr>
        <w:t>30</w:t>
      </w:r>
      <w:r w:rsidR="00110B1A" w:rsidRPr="006C45B8">
        <w:rPr>
          <w:szCs w:val="20"/>
        </w:rPr>
        <w:t>, 35–37</w:t>
      </w:r>
      <w:r w:rsidR="00110B1A">
        <w:rPr>
          <w:szCs w:val="20"/>
        </w:rPr>
        <w:t>.</w:t>
      </w:r>
    </w:p>
    <w:p w14:paraId="3934E5A8" w14:textId="4A52B90C" w:rsidR="00496748" w:rsidRDefault="00967916">
      <w:pPr>
        <w:pStyle w:val="Nadpis4"/>
      </w:pPr>
      <w:r>
        <w:t xml:space="preserve">[2] </w:t>
      </w:r>
      <w:r w:rsidR="00110B1A" w:rsidRPr="006C45B8">
        <w:rPr>
          <w:szCs w:val="20"/>
        </w:rPr>
        <w:t xml:space="preserve">Seong, H. R., Kim, D.-S., Kim, S.-G., Choi, H.-J., Ahn, K. H. </w:t>
      </w:r>
      <w:r w:rsidR="00110B1A" w:rsidRPr="006C45B8">
        <w:rPr>
          <w:szCs w:val="20"/>
          <w:lang w:val="en-US"/>
        </w:rPr>
        <w:t>(</w:t>
      </w:r>
      <w:r w:rsidR="00110B1A" w:rsidRPr="006C45B8">
        <w:rPr>
          <w:szCs w:val="20"/>
        </w:rPr>
        <w:t xml:space="preserve">2004) </w:t>
      </w:r>
      <w:r w:rsidR="00110B1A" w:rsidRPr="006C45B8">
        <w:rPr>
          <w:i/>
          <w:szCs w:val="20"/>
        </w:rPr>
        <w:t>Tetrahedron Lett.</w:t>
      </w:r>
      <w:r w:rsidR="00110B1A" w:rsidRPr="006C45B8">
        <w:rPr>
          <w:szCs w:val="20"/>
        </w:rPr>
        <w:t xml:space="preserve"> </w:t>
      </w:r>
      <w:r w:rsidR="00110B1A" w:rsidRPr="006C45B8">
        <w:rPr>
          <w:b/>
          <w:szCs w:val="20"/>
        </w:rPr>
        <w:t>45</w:t>
      </w:r>
      <w:r w:rsidR="00110B1A" w:rsidRPr="006C45B8">
        <w:rPr>
          <w:szCs w:val="20"/>
        </w:rPr>
        <w:t>, 723–727.</w:t>
      </w:r>
    </w:p>
    <w:p w14:paraId="3D5B200B" w14:textId="634315CD" w:rsidR="00496748" w:rsidRDefault="00967916">
      <w:pPr>
        <w:pStyle w:val="Nadpis4"/>
      </w:pPr>
      <w:r>
        <w:t xml:space="preserve">[3] </w:t>
      </w:r>
      <w:r w:rsidR="005B5CD0" w:rsidRPr="005B5CD0">
        <w:t xml:space="preserve">El-Zahed, M. M., </w:t>
      </w:r>
      <w:proofErr w:type="spellStart"/>
      <w:r w:rsidR="005B5CD0" w:rsidRPr="005B5CD0">
        <w:t>Kiwaan</w:t>
      </w:r>
      <w:proofErr w:type="spellEnd"/>
      <w:r w:rsidR="005B5CD0" w:rsidRPr="005B5CD0">
        <w:t xml:space="preserve">, H. A., Farhat, A. A. M., </w:t>
      </w:r>
      <w:proofErr w:type="spellStart"/>
      <w:r w:rsidR="005B5CD0" w:rsidRPr="005B5CD0">
        <w:t>Moawed</w:t>
      </w:r>
      <w:proofErr w:type="spellEnd"/>
      <w:r w:rsidR="005B5CD0" w:rsidRPr="005B5CD0">
        <w:t>, E. A. &amp; El-</w:t>
      </w:r>
      <w:proofErr w:type="spellStart"/>
      <w:r w:rsidR="005B5CD0" w:rsidRPr="005B5CD0">
        <w:t>Sonbati</w:t>
      </w:r>
      <w:proofErr w:type="spellEnd"/>
      <w:r w:rsidR="005B5CD0" w:rsidRPr="005B5CD0">
        <w:t xml:space="preserve">, M. A. (2023). </w:t>
      </w:r>
      <w:r w:rsidR="005B5CD0" w:rsidRPr="005B5CD0">
        <w:rPr>
          <w:i/>
        </w:rPr>
        <w:t>Iran. Polym. J.</w:t>
      </w:r>
      <w:r w:rsidR="005B5CD0" w:rsidRPr="005B5CD0">
        <w:t xml:space="preserve"> </w:t>
      </w:r>
      <w:r w:rsidR="005B5CD0" w:rsidRPr="005B5CD0">
        <w:rPr>
          <w:b/>
        </w:rPr>
        <w:t>32</w:t>
      </w:r>
      <w:r w:rsidR="005B5CD0" w:rsidRPr="005B5CD0">
        <w:t>, 71–79.</w:t>
      </w:r>
    </w:p>
    <w:p w14:paraId="6BE920CF" w14:textId="3D7F150A" w:rsidR="00496748" w:rsidRDefault="00967916">
      <w:pPr>
        <w:pStyle w:val="Nadpis4"/>
      </w:pPr>
      <w:r>
        <w:t xml:space="preserve">[4] </w:t>
      </w:r>
      <w:proofErr w:type="spellStart"/>
      <w:r w:rsidR="005B5CD0" w:rsidRPr="005B5CD0">
        <w:t>Alcolea</w:t>
      </w:r>
      <w:proofErr w:type="spellEnd"/>
      <w:r w:rsidR="005B5CD0" w:rsidRPr="005B5CD0">
        <w:t xml:space="preserve">, V., Plano, D., Karelia, D. N., </w:t>
      </w:r>
      <w:proofErr w:type="spellStart"/>
      <w:r w:rsidR="005B5CD0" w:rsidRPr="005B5CD0">
        <w:t>Palop</w:t>
      </w:r>
      <w:proofErr w:type="spellEnd"/>
      <w:r w:rsidR="005B5CD0" w:rsidRPr="005B5CD0">
        <w:t xml:space="preserve">, J. A., Amin, S., </w:t>
      </w:r>
      <w:proofErr w:type="spellStart"/>
      <w:r w:rsidR="005B5CD0" w:rsidRPr="005B5CD0">
        <w:t>Sanmartín</w:t>
      </w:r>
      <w:proofErr w:type="spellEnd"/>
      <w:r w:rsidR="005B5CD0" w:rsidRPr="005B5CD0">
        <w:t xml:space="preserve">, C. &amp; Sharma, A. K. (2016). </w:t>
      </w:r>
      <w:r w:rsidR="005B5CD0" w:rsidRPr="005B5CD0">
        <w:rPr>
          <w:i/>
        </w:rPr>
        <w:t>Eur. J. Med. Chem.</w:t>
      </w:r>
      <w:r w:rsidR="005B5CD0" w:rsidRPr="005B5CD0">
        <w:t xml:space="preserve"> </w:t>
      </w:r>
      <w:r w:rsidR="005B5CD0" w:rsidRPr="005B5CD0">
        <w:rPr>
          <w:b/>
        </w:rPr>
        <w:t>113</w:t>
      </w:r>
      <w:r w:rsidR="005B5CD0" w:rsidRPr="005B5CD0">
        <w:t>, 134–144.</w:t>
      </w:r>
    </w:p>
    <w:p w14:paraId="699C84BB" w14:textId="3A59D3D9" w:rsidR="00496748" w:rsidRDefault="00110B1A">
      <w:pPr>
        <w:pStyle w:val="Acknowledgement"/>
      </w:pPr>
      <w:r w:rsidRPr="004239F3">
        <w:rPr>
          <w:iCs/>
        </w:rPr>
        <w:t>This research was supported by the project 23-05293S of the Czech Science Foundation</w:t>
      </w:r>
      <w:r>
        <w:rPr>
          <w:iCs/>
        </w:rPr>
        <w:t>.</w:t>
      </w:r>
    </w:p>
    <w:sectPr w:rsidR="00496748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D5F02" w14:textId="77777777" w:rsidR="0069442F" w:rsidRDefault="0069442F">
      <w:pPr>
        <w:spacing w:after="0"/>
      </w:pPr>
      <w:r>
        <w:separator/>
      </w:r>
    </w:p>
  </w:endnote>
  <w:endnote w:type="continuationSeparator" w:id="0">
    <w:p w14:paraId="20266989" w14:textId="77777777" w:rsidR="0069442F" w:rsidRDefault="006944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D3985" w14:textId="77777777" w:rsidR="00496748" w:rsidRDefault="00967916">
    <w:pPr>
      <w:pStyle w:val="Zpat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14:paraId="10646FF9" w14:textId="77777777" w:rsidR="00496748" w:rsidRDefault="00496748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11ACF" w14:textId="77777777" w:rsidR="0069442F" w:rsidRDefault="0069442F">
      <w:pPr>
        <w:spacing w:after="0"/>
      </w:pPr>
      <w:r>
        <w:separator/>
      </w:r>
    </w:p>
  </w:footnote>
  <w:footnote w:type="continuationSeparator" w:id="0">
    <w:p w14:paraId="07A4FB4B" w14:textId="77777777" w:rsidR="0069442F" w:rsidRDefault="006944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1B4A" w14:textId="77777777" w:rsidR="00496748" w:rsidRDefault="00967916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748"/>
    <w:rsid w:val="00110B1A"/>
    <w:rsid w:val="00183FDD"/>
    <w:rsid w:val="002515B5"/>
    <w:rsid w:val="002B2CFF"/>
    <w:rsid w:val="00323DB6"/>
    <w:rsid w:val="00435E80"/>
    <w:rsid w:val="00496748"/>
    <w:rsid w:val="005B5CD0"/>
    <w:rsid w:val="005C43FC"/>
    <w:rsid w:val="0069442F"/>
    <w:rsid w:val="0071178B"/>
    <w:rsid w:val="0073162F"/>
    <w:rsid w:val="00835EDA"/>
    <w:rsid w:val="00897565"/>
    <w:rsid w:val="008F7E8E"/>
    <w:rsid w:val="00967916"/>
    <w:rsid w:val="00A704F6"/>
    <w:rsid w:val="00A90370"/>
    <w:rsid w:val="00B90BB1"/>
    <w:rsid w:val="00C702DD"/>
    <w:rsid w:val="00E14625"/>
    <w:rsid w:val="00F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286348"/>
  <w15:docId w15:val="{E24A9488-364A-4E3E-83B0-C767B372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Nadpis1">
    <w:name w:val="heading 1"/>
    <w:basedOn w:val="Normln"/>
    <w:next w:val="Nadpis2"/>
    <w:link w:val="Nadpis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dpis2">
    <w:name w:val="heading 2"/>
    <w:basedOn w:val="Normln"/>
    <w:next w:val="Nadpis3"/>
    <w:link w:val="Nadpis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dpis5">
    <w:name w:val="heading 5"/>
    <w:basedOn w:val="Nadpis6"/>
    <w:next w:val="Normln"/>
    <w:link w:val="Nadpis5Char"/>
    <w:uiPriority w:val="9"/>
    <w:unhideWhenUsed/>
    <w:qFormat/>
    <w:rsid w:val="00605A18"/>
    <w:pPr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dpis2Char">
    <w:name w:val="Nadpis 2 Char"/>
    <w:link w:val="Nadpis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dpis3Char">
    <w:name w:val="Nadpis 3 Char"/>
    <w:link w:val="Nadpis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dpis4Char">
    <w:name w:val="Nadpis 4 Char"/>
    <w:link w:val="Nadpis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AdresaHTMLChar">
    <w:name w:val="Adresa HTML Char"/>
    <w:link w:val="Adresa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Nadpis5Char">
    <w:name w:val="Nadpis 5 Char"/>
    <w:link w:val="Nadpis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dpis6Char">
    <w:name w:val="Nadpis 6 Char"/>
    <w:link w:val="Nadpis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ZhlavChar">
    <w:name w:val="Záhlaví Char"/>
    <w:link w:val="Zhlav"/>
    <w:uiPriority w:val="99"/>
    <w:qFormat/>
    <w:rsid w:val="00D13351"/>
    <w:rPr>
      <w:lang w:val="en-GB" w:eastAsia="de-DE"/>
    </w:rPr>
  </w:style>
  <w:style w:type="character" w:customStyle="1" w:styleId="ZpatChar">
    <w:name w:val="Zápatí Char"/>
    <w:link w:val="Zpat"/>
    <w:uiPriority w:val="99"/>
    <w:qFormat/>
    <w:rsid w:val="00D13351"/>
    <w:rPr>
      <w:lang w:val="en-GB" w:eastAsia="de-DE"/>
    </w:rPr>
  </w:style>
  <w:style w:type="character" w:customStyle="1" w:styleId="TextbublinyChar">
    <w:name w:val="Text bubliny Char"/>
    <w:link w:val="Textbubliny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ln"/>
    <w:next w:val="Zkladn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ln"/>
    <w:qFormat/>
    <w:rsid w:val="00777DA8"/>
    <w:rPr>
      <w:i/>
    </w:rPr>
  </w:style>
  <w:style w:type="paragraph" w:styleId="AdresaHTML">
    <w:name w:val="HTML Address"/>
    <w:basedOn w:val="Normln"/>
    <w:link w:val="AdresaHTML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2E626-F03E-42B1-A138-8FF3E38B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449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Václav Eigner</cp:lastModifiedBy>
  <cp:revision>23</cp:revision>
  <dcterms:created xsi:type="dcterms:W3CDTF">2019-09-04T15:26:00Z</dcterms:created>
  <dcterms:modified xsi:type="dcterms:W3CDTF">2025-05-09T16:06:00Z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