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keepNext w:val="true"/>
        <w:spacing w:before="240" w:after="60"/>
        <w:jc w:val="center"/>
        <w:rPr/>
      </w:pPr>
      <w:r>
        <w:rPr/>
        <w:t>The reinvestigation of the Li-Zn binary system.</w:t>
      </w:r>
      <w:r>
        <w:rPr/>
        <w:t xml:space="preserve"> </w:t>
      </w:r>
    </w:p>
    <w:p>
      <w:pPr>
        <w:pStyle w:val="Heading2"/>
        <w:rPr/>
      </w:pPr>
      <w:r>
        <w:rPr>
          <w:position w:val="0"/>
          <w:sz w:val="20"/>
          <w:vertAlign w:val="baseline"/>
        </w:rPr>
        <w:t>V. Pavlyuk</w:t>
      </w:r>
      <w:r>
        <w:rPr>
          <w:vertAlign w:val="superscript"/>
        </w:rPr>
        <w:t>1</w:t>
      </w:r>
      <w:r>
        <w:rPr>
          <w:vertAlign w:val="superscript"/>
        </w:rPr>
        <w:t>,2</w:t>
      </w:r>
      <w:r>
        <w:rPr/>
        <w:t xml:space="preserve">, </w:t>
      </w:r>
      <w:r>
        <w:rPr/>
        <w:t>H. Ehrenberg</w:t>
      </w:r>
      <w:r>
        <w:rPr>
          <w:vertAlign w:val="superscript"/>
        </w:rPr>
        <w:t>3</w:t>
      </w:r>
      <w:r>
        <w:rPr/>
        <w:t xml:space="preserve">, </w:t>
      </w:r>
      <w:r>
        <w:rPr>
          <w:u w:val="single"/>
        </w:rPr>
        <w:t>I. Oshchapovsky</w:t>
      </w:r>
      <w:r>
        <w:rPr>
          <w:u w:val="single"/>
        </w:rPr>
        <w:t>y</w:t>
      </w:r>
      <w:r>
        <w:rPr>
          <w:vertAlign w:val="superscript"/>
        </w:rPr>
        <w:t>4</w:t>
      </w:r>
      <w:r>
        <w:rPr/>
        <w:t>, Sven Lidin</w:t>
      </w:r>
      <w:r>
        <w:rPr>
          <w:vertAlign w:val="superscript"/>
        </w:rPr>
        <w:t>5</w:t>
      </w:r>
    </w:p>
    <w:p>
      <w:pPr>
        <w:pStyle w:val="Heading3"/>
        <w:rPr/>
      </w:pPr>
      <w:r>
        <w:rPr>
          <w:vertAlign w:val="superscript"/>
        </w:rPr>
        <w:t>1</w:t>
      </w:r>
      <w:r>
        <w:rPr>
          <w:position w:val="0"/>
          <w:sz w:val="20"/>
          <w:vertAlign w:val="baseline"/>
        </w:rPr>
        <w:t>Department of Inorganic Chemistry, Ivan Franko National University of Lviv, Kyryla i Mefodiya Street 6, 79005 Lviv, Ukraine</w:t>
      </w:r>
      <w:r>
        <w:rPr/>
        <w:t xml:space="preserve">, </w:t>
      </w:r>
      <w:r>
        <w:rPr>
          <w:vertAlign w:val="superscript"/>
        </w:rPr>
        <w:t>2</w:t>
      </w:r>
      <w:r>
        <w:rPr>
          <w:position w:val="0"/>
          <w:sz w:val="20"/>
          <w:vertAlign w:val="baseline"/>
        </w:rPr>
        <w:t xml:space="preserve">Faculty of Science &amp; Technology, Jan Dlugosz University in Czestochowa, al. Armii Krajowej 13/15, 42-200 Czestochowa, Poland, </w:t>
      </w:r>
      <w:r>
        <w:rPr>
          <w:vertAlign w:val="superscript"/>
        </w:rPr>
        <w:t>3</w:t>
      </w:r>
      <w:r>
        <w:rPr>
          <w:position w:val="0"/>
          <w:sz w:val="20"/>
          <w:vertAlign w:val="baseline"/>
        </w:rPr>
        <w:t>Institut für Angewandte Materialien, Karlsruher Institut für Technologie, Hermann-von-Helmholtz-Platz 1, D-76344 Eggenstein-Leopoldshafen,</w:t>
      </w:r>
      <w:r>
        <w:rPr>
          <w:position w:val="0"/>
          <w:sz w:val="20"/>
          <w:vertAlign w:val="baseline"/>
        </w:rPr>
        <w:t xml:space="preserve"> Germany</w:t>
      </w:r>
      <w:r>
        <w:rPr>
          <w:position w:val="0"/>
          <w:sz w:val="20"/>
          <w:vertAlign w:val="baseline"/>
        </w:rPr>
        <w:t xml:space="preserve"> </w:t>
      </w:r>
      <w:r>
        <w:rPr>
          <w:vertAlign w:val="superscript"/>
        </w:rPr>
        <w:t>4</w:t>
      </w:r>
      <w:r>
        <w:rPr>
          <w:position w:val="0"/>
          <w:sz w:val="20"/>
          <w:vertAlign w:val="baseline"/>
        </w:rPr>
        <w:t xml:space="preserve"> Institute of Nuclear Physics PAN, Radzikowskiego Str. 152, 31-342 Kraków, Poland, </w:t>
      </w:r>
      <w:r>
        <w:rPr>
          <w:vertAlign w:val="superscript"/>
        </w:rPr>
        <w:t>5</w:t>
      </w:r>
      <w:r>
        <w:rPr>
          <w:position w:val="0"/>
          <w:sz w:val="20"/>
          <w:vertAlign w:val="baseline"/>
        </w:rPr>
        <w:t xml:space="preserve">Centre for Analysis and Synthesis, </w:t>
      </w:r>
      <w:bookmarkStart w:id="0" w:name="__DdeLink__2324_1341861666"/>
      <w:r>
        <w:rPr>
          <w:position w:val="0"/>
          <w:sz w:val="20"/>
          <w:vertAlign w:val="baseline"/>
        </w:rPr>
        <w:t>Lund Universit</w:t>
      </w:r>
      <w:r>
        <w:rPr>
          <w:position w:val="0"/>
          <w:sz w:val="20"/>
          <w:vertAlign w:val="baseline"/>
        </w:rPr>
        <w:t>y</w:t>
      </w:r>
      <w:bookmarkEnd w:id="0"/>
      <w:r>
        <w:rPr>
          <w:position w:val="0"/>
          <w:sz w:val="20"/>
          <w:vertAlign w:val="baseline"/>
        </w:rPr>
        <w:t>, Naturvetarvägen 14, Lund 222-61, Sweden</w:t>
      </w:r>
    </w:p>
    <w:p>
      <w:pPr>
        <w:pStyle w:val="Heading3"/>
        <w:rPr/>
      </w:pPr>
      <w:r>
        <w:rPr/>
        <w:t>romaniuk@ua.fm</w:t>
      </w:r>
      <w:r>
        <w:rPr>
          <w:lang w:eastAsia="de-DE"/>
        </w:rPr>
        <w:br/>
      </w:r>
    </w:p>
    <w:p>
      <w:pPr>
        <w:pStyle w:val="Normal"/>
        <w:rPr/>
      </w:pPr>
      <w:r>
        <w:rPr>
          <w:rStyle w:val="Heading6Char"/>
        </w:rPr>
        <w:t>Lithium alloys attract much interest due to their wide application as anodes of rechargeable batteries and ultralight materials. In spite of extensive investigation of lithium binary and multicomponent systems, our knowledge about some phase digrams and the structures of phases is far from completeness. One of them is the title Li-Zn system. The oldest investigation of this system in full concentration range in 1933[1] was surprisingly accurate. The more recent variant of the phase diagram [2] is mostly based on the previous one. However, several regions had ambiguities and the structures of LiZn</w:t>
      </w:r>
      <w:r>
        <w:rPr>
          <w:rStyle w:val="Heading6Char"/>
          <w:vertAlign w:val="subscript"/>
        </w:rPr>
        <w:t>2</w:t>
      </w:r>
      <w:r>
        <w:rPr>
          <w:rStyle w:val="Heading6Char"/>
        </w:rPr>
        <w:t>, αLi</w:t>
      </w:r>
      <w:r>
        <w:rPr>
          <w:rStyle w:val="Heading6Char"/>
          <w:vertAlign w:val="subscript"/>
        </w:rPr>
        <w:t>2</w:t>
      </w:r>
      <w:r>
        <w:rPr>
          <w:rStyle w:val="Heading6Char"/>
        </w:rPr>
        <w:t>Zn</w:t>
      </w:r>
      <w:r>
        <w:rPr>
          <w:rStyle w:val="Heading6Char"/>
          <w:vertAlign w:val="subscript"/>
        </w:rPr>
        <w:t>5</w:t>
      </w:r>
      <w:r>
        <w:rPr>
          <w:rStyle w:val="Heading6Char"/>
        </w:rPr>
        <w:t xml:space="preserve"> and βLiZn</w:t>
      </w:r>
      <w:r>
        <w:rPr>
          <w:rStyle w:val="Heading6Char"/>
          <w:vertAlign w:val="subscript"/>
        </w:rPr>
        <w:t>4</w:t>
      </w:r>
      <w:r>
        <w:rPr>
          <w:rStyle w:val="Heading6Char"/>
        </w:rPr>
        <w:t xml:space="preserve"> phases remained unknown/uncertain. In course of our reinvestigation of the title system using DTA, powder and single crystal XRD, several amendments were made. The crystal structures of the α,βLiZn</w:t>
      </w:r>
      <w:r>
        <w:rPr>
          <w:rStyle w:val="Heading6Char"/>
          <w:vertAlign w:val="subscript"/>
        </w:rPr>
        <w:t>2</w:t>
      </w:r>
      <w:r>
        <w:rPr>
          <w:rStyle w:val="Heading6Char"/>
        </w:rPr>
        <w:t>, αLi</w:t>
      </w:r>
      <w:r>
        <w:rPr>
          <w:rStyle w:val="Heading6Char"/>
          <w:vertAlign w:val="subscript"/>
        </w:rPr>
        <w:t>2</w:t>
      </w:r>
      <w:r>
        <w:rPr>
          <w:rStyle w:val="Heading6Char"/>
        </w:rPr>
        <w:t>Zn</w:t>
      </w:r>
      <w:r>
        <w:rPr>
          <w:rStyle w:val="Heading6Char"/>
          <w:vertAlign w:val="subscript"/>
        </w:rPr>
        <w:t>5</w:t>
      </w:r>
      <w:r>
        <w:rPr>
          <w:rStyle w:val="Heading6Char"/>
        </w:rPr>
        <w:t xml:space="preserve"> and βLiZn</w:t>
      </w:r>
      <w:r>
        <w:rPr>
          <w:rStyle w:val="Heading6Char"/>
          <w:vertAlign w:val="subscript"/>
        </w:rPr>
        <w:t>4</w:t>
      </w:r>
      <w:r>
        <w:rPr>
          <w:rStyle w:val="Heading6Char"/>
        </w:rPr>
        <w:t xml:space="preserve"> compounds were studied. </w:t>
      </w:r>
    </w:p>
    <w:p>
      <w:pPr>
        <w:pStyle w:val="Normal"/>
        <w:rPr/>
      </w:pPr>
      <w:r>
        <w:rPr>
          <w:rStyle w:val="Heading6Char"/>
        </w:rPr>
        <w:softHyphen/>
        <w:t>Previous authors treated non-variant transformation near 94ºC as solid state decomposition of the LiZn</w:t>
      </w:r>
      <w:r>
        <w:rPr>
          <w:rStyle w:val="Heading6Char"/>
          <w:vertAlign w:val="subscript"/>
        </w:rPr>
        <w:t>2</w:t>
      </w:r>
      <w:r>
        <w:rPr>
          <w:rStyle w:val="Heading6Char"/>
        </w:rPr>
        <w:t xml:space="preserve"> compound. It was found, that the compound LiZn</w:t>
      </w:r>
      <w:r>
        <w:rPr>
          <w:rStyle w:val="Heading6Char"/>
          <w:vertAlign w:val="subscript"/>
        </w:rPr>
        <w:t>2</w:t>
      </w:r>
      <w:r>
        <w:rPr>
          <w:rStyle w:val="Heading6Char"/>
        </w:rPr>
        <w:t xml:space="preserve"> has actually two modifications and polymorphic transition of LiZn</w:t>
      </w:r>
      <w:r>
        <w:rPr>
          <w:rStyle w:val="Heading6Char"/>
          <w:vertAlign w:val="subscript"/>
        </w:rPr>
        <w:t>2</w:t>
      </w:r>
      <w:r>
        <w:rPr>
          <w:rStyle w:val="Heading6Char"/>
        </w:rPr>
        <w:t xml:space="preserve"> occurs at that temperature. The crystal structures of the αLiZn</w:t>
      </w:r>
      <w:r>
        <w:rPr>
          <w:rStyle w:val="Heading6Char"/>
          <w:vertAlign w:val="subscript"/>
        </w:rPr>
        <w:t>2</w:t>
      </w:r>
      <w:r>
        <w:rPr>
          <w:rStyle w:val="Heading6Char"/>
        </w:rPr>
        <w:t>, βLiZn</w:t>
      </w:r>
      <w:r>
        <w:rPr>
          <w:rStyle w:val="Heading6Char"/>
          <w:vertAlign w:val="subscript"/>
        </w:rPr>
        <w:t>2</w:t>
      </w:r>
      <w:r>
        <w:rPr>
          <w:rStyle w:val="Heading6Char"/>
        </w:rPr>
        <w:t>, αLi</w:t>
      </w:r>
      <w:r>
        <w:rPr>
          <w:rStyle w:val="Heading6Char"/>
          <w:vertAlign w:val="subscript"/>
        </w:rPr>
        <w:t>2</w:t>
      </w:r>
      <w:r>
        <w:rPr>
          <w:rStyle w:val="Heading6Char"/>
        </w:rPr>
        <w:t>Zn</w:t>
      </w:r>
      <w:r>
        <w:rPr>
          <w:rStyle w:val="Heading6Char"/>
          <w:vertAlign w:val="subscript"/>
        </w:rPr>
        <w:t>5</w:t>
      </w:r>
      <w:r>
        <w:rPr>
          <w:rStyle w:val="Heading6Char"/>
        </w:rPr>
        <w:t xml:space="preserve"> and βLiZn</w:t>
      </w:r>
      <w:r>
        <w:rPr>
          <w:rStyle w:val="Heading6Char"/>
          <w:vertAlign w:val="subscript"/>
        </w:rPr>
        <w:t>4</w:t>
      </w:r>
      <w:r>
        <w:rPr>
          <w:rStyle w:val="Heading6Char"/>
        </w:rPr>
        <w:t xml:space="preserve"> compounds were determined. The αLi</w:t>
      </w:r>
      <w:r>
        <w:rPr>
          <w:rStyle w:val="Heading6Char"/>
          <w:vertAlign w:val="subscript"/>
        </w:rPr>
        <w:t>2</w:t>
      </w:r>
      <w:r>
        <w:rPr>
          <w:rStyle w:val="Heading6Char"/>
        </w:rPr>
        <w:t>Zn</w:t>
      </w:r>
      <w:r>
        <w:rPr>
          <w:rStyle w:val="Heading6Char"/>
          <w:vertAlign w:val="subscript"/>
        </w:rPr>
        <w:t xml:space="preserve">5 </w:t>
      </w:r>
      <w:r>
        <w:rPr>
          <w:rStyle w:val="Heading6Char"/>
          <w:position w:val="0"/>
          <w:sz w:val="20"/>
          <w:vertAlign w:val="baseline"/>
        </w:rPr>
        <w:t xml:space="preserve"> is the first representative of new binary structure type.</w:t>
      </w:r>
    </w:p>
    <w:p>
      <w:pPr>
        <w:pStyle w:val="Normal"/>
        <w:rPr/>
      </w:pPr>
      <w:r>
        <w:rPr>
          <w:rStyle w:val="Heading6Char"/>
        </w:rPr>
        <w:t>The low-temperature modification αLiZn</w:t>
      </w:r>
      <w:r>
        <w:rPr>
          <w:rStyle w:val="Heading6Char"/>
          <w:vertAlign w:val="subscript"/>
        </w:rPr>
        <w:t xml:space="preserve">2 </w:t>
      </w:r>
      <w:r>
        <w:rPr>
          <w:rStyle w:val="Heading6Char"/>
          <w:position w:val="0"/>
          <w:sz w:val="20"/>
          <w:vertAlign w:val="baseline"/>
        </w:rPr>
        <w:t xml:space="preserve">(sp. gr. P-3m1, a=4.341(1) Å, c=8.024(2) Å) </w:t>
      </w:r>
      <w:r>
        <w:rPr>
          <w:rStyle w:val="Heading6Char"/>
        </w:rPr>
        <w:t>adopts trigonal structure type Zr</w:t>
      </w:r>
      <w:r>
        <w:rPr>
          <w:rStyle w:val="Heading6Char"/>
          <w:vertAlign w:val="subscript"/>
        </w:rPr>
        <w:t>2</w:t>
      </w:r>
      <w:r>
        <w:rPr>
          <w:rStyle w:val="Heading6Char"/>
        </w:rPr>
        <w:t>C</w:t>
      </w:r>
      <w:r>
        <w:rPr>
          <w:rStyle w:val="Heading6Char"/>
          <w:vertAlign w:val="subscript"/>
        </w:rPr>
        <w:t>0.6</w:t>
      </w:r>
      <w:r>
        <w:rPr>
          <w:rStyle w:val="Heading6Char"/>
        </w:rPr>
        <w:t>H</w:t>
      </w:r>
      <w:r>
        <w:rPr>
          <w:rStyle w:val="Heading6Char"/>
          <w:vertAlign w:val="subscript"/>
        </w:rPr>
        <w:t>2</w:t>
      </w:r>
      <w:r>
        <w:rPr>
          <w:rStyle w:val="Heading6Char"/>
          <w:position w:val="0"/>
          <w:sz w:val="20"/>
          <w:vertAlign w:val="baseline"/>
        </w:rPr>
        <w:t>, as was determined from single crystal diffraction data</w:t>
      </w:r>
      <w:r>
        <w:rPr>
          <w:rStyle w:val="Heading6Char"/>
        </w:rPr>
        <w:t>. The case of βLiZn</w:t>
      </w:r>
      <w:r>
        <w:rPr>
          <w:rStyle w:val="Heading6Char"/>
          <w:vertAlign w:val="subscript"/>
        </w:rPr>
        <w:t xml:space="preserve">2 </w:t>
      </w:r>
      <w:r>
        <w:rPr>
          <w:rStyle w:val="Heading6Char"/>
        </w:rPr>
        <w:t>is more interesting. It has cubic symmetry and two models fit well to powder XRD data - more disordered centrosymmetric with structure of BiF</w:t>
      </w:r>
      <w:r>
        <w:rPr>
          <w:rStyle w:val="Heading6Char"/>
          <w:vertAlign w:val="subscript"/>
        </w:rPr>
        <w:t>3</w:t>
      </w:r>
      <w:r>
        <w:rPr>
          <w:rStyle w:val="Heading6Char"/>
          <w:position w:val="0"/>
          <w:sz w:val="20"/>
          <w:vertAlign w:val="baseline"/>
        </w:rPr>
        <w:t xml:space="preserve"> </w:t>
      </w:r>
      <w:r>
        <w:rPr>
          <w:rStyle w:val="Heading6Char"/>
          <w:position w:val="0"/>
          <w:sz w:val="20"/>
          <w:vertAlign w:val="baseline"/>
        </w:rPr>
        <w:t xml:space="preserve">(sp. gr. </w:t>
      </w:r>
      <w:r>
        <w:rPr>
          <w:rStyle w:val="Heading6Char"/>
          <w:position w:val="0"/>
          <w:sz w:val="20"/>
          <w:vertAlign w:val="baseline"/>
        </w:rPr>
        <w:t>Fm</w:t>
      </w:r>
      <w:r>
        <w:rPr>
          <w:rStyle w:val="Heading6Char"/>
          <w:position w:val="0"/>
          <w:sz w:val="20"/>
          <w:vertAlign w:val="baseline"/>
        </w:rPr>
        <w:t>-3m</w:t>
      </w:r>
      <w:r>
        <w:rPr>
          <w:rStyle w:val="Heading6Char"/>
          <w:position w:val="0"/>
          <w:sz w:val="20"/>
          <w:vertAlign w:val="baseline"/>
        </w:rPr>
        <w:t xml:space="preserve">, </w:t>
      </w:r>
      <w:r>
        <w:rPr>
          <w:rStyle w:val="Heading6Char"/>
          <w:position w:val="0"/>
          <w:sz w:val="20"/>
          <w:vertAlign w:val="baseline"/>
        </w:rPr>
        <w:t>a=</w:t>
      </w:r>
      <w:r>
        <w:rPr>
          <w:rStyle w:val="Heading6Char"/>
          <w:position w:val="0"/>
          <w:sz w:val="20"/>
          <w:vertAlign w:val="baseline"/>
        </w:rPr>
        <w:t>6.1980(3)</w:t>
      </w:r>
      <w:r>
        <w:rPr>
          <w:rStyle w:val="Heading6Char"/>
          <w:position w:val="0"/>
          <w:sz w:val="20"/>
          <w:vertAlign w:val="baseline"/>
        </w:rPr>
        <w:t xml:space="preserve"> Å</w:t>
      </w:r>
      <w:r>
        <w:rPr>
          <w:rStyle w:val="Heading6Char"/>
          <w:position w:val="0"/>
          <w:sz w:val="20"/>
          <w:vertAlign w:val="baseline"/>
        </w:rPr>
        <w:t xml:space="preserve">, </w:t>
      </w:r>
      <w:r>
        <w:rPr>
          <w:rStyle w:val="Heading6Char"/>
          <w:position w:val="0"/>
          <w:sz w:val="20"/>
          <w:vertAlign w:val="baseline"/>
        </w:rPr>
        <w:t>250</w:t>
      </w:r>
      <w:r>
        <w:rPr>
          <w:rStyle w:val="Heading6Char"/>
          <w:rFonts w:eastAsia="Symbol" w:cs="Symbol" w:ascii="Nimbus Roman" w:hAnsi="Nimbus Roman"/>
          <w:position w:val="0"/>
          <w:sz w:val="20"/>
          <w:vertAlign w:val="baseline"/>
        </w:rPr>
        <w:t>°</w:t>
      </w:r>
      <w:r>
        <w:rPr>
          <w:rStyle w:val="Heading6Char"/>
          <w:position w:val="0"/>
          <w:sz w:val="20"/>
          <w:vertAlign w:val="baseline"/>
        </w:rPr>
        <w:t>C</w:t>
      </w:r>
      <w:r>
        <w:rPr>
          <w:rStyle w:val="Heading6Char"/>
          <w:position w:val="0"/>
          <w:sz w:val="20"/>
          <w:vertAlign w:val="baseline"/>
        </w:rPr>
        <w:t xml:space="preserve">) </w:t>
      </w:r>
      <w:r>
        <w:rPr>
          <w:rStyle w:val="Heading6Char"/>
          <w:position w:val="0"/>
          <w:sz w:val="20"/>
          <w:vertAlign w:val="baseline"/>
        </w:rPr>
        <w:t xml:space="preserve">or </w:t>
      </w:r>
      <w:r>
        <w:rPr>
          <w:rStyle w:val="Heading6Char"/>
          <w:position w:val="0"/>
          <w:sz w:val="20"/>
          <w:vertAlign w:val="baseline"/>
        </w:rPr>
        <w:t xml:space="preserve">more ordered non-centrosymmetric </w:t>
      </w:r>
      <w:r>
        <w:rPr>
          <w:rStyle w:val="Heading6Char"/>
          <w:position w:val="0"/>
          <w:sz w:val="20"/>
          <w:vertAlign w:val="baseline"/>
        </w:rPr>
        <w:t>with str</w:t>
      </w:r>
      <w:r>
        <w:rPr>
          <w:rStyle w:val="Heading6Char"/>
          <w:position w:val="0"/>
          <w:sz w:val="20"/>
          <w:vertAlign w:val="baseline"/>
        </w:rPr>
        <w:t>ucture of</w:t>
      </w:r>
      <w:r>
        <w:rPr>
          <w:rStyle w:val="Heading6Char"/>
          <w:position w:val="0"/>
          <w:sz w:val="20"/>
          <w:vertAlign w:val="baseline"/>
        </w:rPr>
        <w:t xml:space="preserve"> </w:t>
      </w:r>
      <w:r>
        <w:rPr>
          <w:rStyle w:val="Heading6Char"/>
        </w:rPr>
        <w:t>Li</w:t>
      </w:r>
      <w:r>
        <w:rPr>
          <w:rStyle w:val="Heading6Char"/>
          <w:vertAlign w:val="subscript"/>
        </w:rPr>
        <w:t>2</w:t>
      </w:r>
      <w:r>
        <w:rPr>
          <w:rStyle w:val="Heading6Char"/>
        </w:rPr>
        <w:t xml:space="preserve">AgSb </w:t>
      </w:r>
      <w:r>
        <w:rPr>
          <w:rStyle w:val="Heading6Char"/>
          <w:position w:val="0"/>
          <w:sz w:val="20"/>
          <w:vertAlign w:val="baseline"/>
        </w:rPr>
        <w:t xml:space="preserve">(sp. gr. </w:t>
      </w:r>
      <w:r>
        <w:rPr>
          <w:rStyle w:val="Heading6Char"/>
          <w:position w:val="0"/>
          <w:sz w:val="20"/>
          <w:vertAlign w:val="baseline"/>
        </w:rPr>
        <w:t>F-4</w:t>
      </w:r>
      <w:r>
        <w:rPr>
          <w:rStyle w:val="Heading6Char"/>
          <w:position w:val="0"/>
          <w:sz w:val="20"/>
          <w:vertAlign w:val="baseline"/>
        </w:rPr>
        <w:t>3m</w:t>
      </w:r>
      <w:r>
        <w:rPr>
          <w:rStyle w:val="Heading6Char"/>
          <w:position w:val="0"/>
          <w:sz w:val="20"/>
          <w:vertAlign w:val="baseline"/>
        </w:rPr>
        <w:t xml:space="preserve">, </w:t>
      </w:r>
      <w:r>
        <w:rPr>
          <w:rStyle w:val="Heading6Char"/>
          <w:position w:val="0"/>
          <w:sz w:val="20"/>
          <w:vertAlign w:val="baseline"/>
        </w:rPr>
        <w:t>a=</w:t>
      </w:r>
      <w:r>
        <w:rPr>
          <w:rStyle w:val="Heading6Char"/>
          <w:position w:val="0"/>
          <w:sz w:val="20"/>
          <w:vertAlign w:val="baseline"/>
        </w:rPr>
        <w:t>6.1763(3)</w:t>
      </w:r>
      <w:r>
        <w:rPr>
          <w:rStyle w:val="Heading6Char"/>
          <w:position w:val="0"/>
          <w:sz w:val="20"/>
          <w:vertAlign w:val="baseline"/>
        </w:rPr>
        <w:t xml:space="preserve"> Å</w:t>
      </w:r>
      <w:r>
        <w:rPr>
          <w:rStyle w:val="Heading6Char"/>
          <w:position w:val="0"/>
          <w:sz w:val="20"/>
          <w:vertAlign w:val="baseline"/>
        </w:rPr>
        <w:t>, 1</w:t>
      </w:r>
      <w:r>
        <w:rPr>
          <w:rStyle w:val="Heading6Char"/>
          <w:position w:val="0"/>
          <w:sz w:val="20"/>
          <w:vertAlign w:val="baseline"/>
        </w:rPr>
        <w:t>50</w:t>
      </w:r>
      <w:r>
        <w:rPr>
          <w:rStyle w:val="Heading6Char"/>
          <w:rFonts w:eastAsia="Symbol" w:cs="Symbol" w:ascii="Nimbus Roman" w:hAnsi="Nimbus Roman"/>
          <w:position w:val="0"/>
          <w:sz w:val="20"/>
          <w:vertAlign w:val="baseline"/>
        </w:rPr>
        <w:t>°</w:t>
      </w:r>
      <w:r>
        <w:rPr>
          <w:rStyle w:val="Heading6Char"/>
          <w:position w:val="0"/>
          <w:sz w:val="20"/>
          <w:vertAlign w:val="baseline"/>
        </w:rPr>
        <w:t>C</w:t>
      </w:r>
      <w:r>
        <w:rPr>
          <w:rStyle w:val="Heading6Char"/>
          <w:position w:val="0"/>
          <w:sz w:val="20"/>
          <w:vertAlign w:val="baseline"/>
        </w:rPr>
        <w:t>)</w:t>
      </w:r>
      <w:r>
        <w:rPr>
          <w:rStyle w:val="Heading6Char"/>
        </w:rPr>
        <w:t>. The former slightly better describes powder pattern of LiZn</w:t>
      </w:r>
      <w:r>
        <w:rPr>
          <w:rStyle w:val="Heading6Char"/>
          <w:vertAlign w:val="subscript"/>
        </w:rPr>
        <w:t>2</w:t>
      </w:r>
      <w:r>
        <w:rPr>
          <w:rStyle w:val="Heading6Char"/>
        </w:rPr>
        <w:t xml:space="preserve"> alloy, annealed at 250</w:t>
      </w:r>
      <w:r>
        <w:rPr>
          <w:rStyle w:val="Heading6Char"/>
          <w:rFonts w:eastAsia="Symbol" w:cs="Symbol" w:ascii="Nimbus Roman" w:hAnsi="Nimbus Roman"/>
        </w:rPr>
        <w:t>°</w:t>
      </w:r>
      <w:r>
        <w:rPr>
          <w:rStyle w:val="Heading6Char"/>
        </w:rPr>
        <w:t>C, whereas the latter - for the alloy at 150</w:t>
      </w:r>
      <w:r>
        <w:rPr>
          <w:rStyle w:val="Heading6Char"/>
          <w:rFonts w:eastAsia="Symbol" w:cs="Symbol" w:ascii="Nimbus Roman" w:hAnsi="Nimbus Roman"/>
        </w:rPr>
        <w:t>°</w:t>
      </w:r>
      <w:r>
        <w:rPr>
          <w:rStyle w:val="Heading6Char"/>
        </w:rPr>
        <w:t>C. The pattern of the alloy at 200</w:t>
      </w:r>
      <w:r>
        <w:rPr>
          <w:rStyle w:val="Heading6Char"/>
          <w:rFonts w:eastAsia="Symbol" w:cs="Symbol" w:ascii="Nimbus Roman" w:hAnsi="Nimbus Roman"/>
        </w:rPr>
        <w:t>°</w:t>
      </w:r>
      <w:r>
        <w:rPr>
          <w:rStyle w:val="Heading6Char"/>
        </w:rPr>
        <w:t>C is equally well described by both models. Both models have mixed Li/Zn sites, thus the stoichiometry remains Li:Zn=1:2. While powder XRD data does not allow us to choose space group with absolute certainty, one can suppose that firstly</w:t>
      </w:r>
      <w:r>
        <w:rPr>
          <w:rStyle w:val="Heading6Char"/>
          <w:position w:val="0"/>
          <w:sz w:val="20"/>
          <w:vertAlign w:val="baseline"/>
        </w:rPr>
        <w:t xml:space="preserve"> αLiZn</w:t>
      </w:r>
      <w:r>
        <w:rPr>
          <w:rStyle w:val="Heading6Char"/>
          <w:vertAlign w:val="subscript"/>
        </w:rPr>
        <w:t>2</w:t>
      </w:r>
      <w:r>
        <w:rPr>
          <w:rStyle w:val="Heading6Char"/>
          <w:position w:val="0"/>
          <w:sz w:val="20"/>
          <w:vertAlign w:val="baseline"/>
        </w:rPr>
        <w:t xml:space="preserve"> </w:t>
      </w:r>
      <w:r>
        <w:rPr>
          <w:rStyle w:val="Heading6Char"/>
          <w:position w:val="0"/>
          <w:sz w:val="20"/>
          <w:vertAlign w:val="baseline"/>
        </w:rPr>
        <w:t xml:space="preserve">transforms into </w:t>
      </w:r>
      <w:r>
        <w:rPr>
          <w:rStyle w:val="Heading6Char"/>
          <w:position w:val="0"/>
          <w:sz w:val="20"/>
          <w:vertAlign w:val="baseline"/>
        </w:rPr>
        <w:t>βLiZn</w:t>
      </w:r>
      <w:r>
        <w:rPr>
          <w:rStyle w:val="Heading6Char"/>
          <w:vertAlign w:val="subscript"/>
        </w:rPr>
        <w:t>2</w:t>
      </w:r>
      <w:r>
        <w:rPr>
          <w:rStyle w:val="Heading6Char"/>
          <w:position w:val="0"/>
          <w:sz w:val="20"/>
          <w:vertAlign w:val="baseline"/>
        </w:rPr>
        <w:t xml:space="preserve"> </w:t>
      </w:r>
      <w:r>
        <w:rPr>
          <w:rStyle w:val="Heading6Char"/>
          <w:position w:val="0"/>
          <w:sz w:val="20"/>
          <w:vertAlign w:val="baseline"/>
        </w:rPr>
        <w:t>near 94</w:t>
      </w:r>
      <w:r>
        <w:rPr>
          <w:rStyle w:val="Heading6Char"/>
          <w:rFonts w:eastAsia="Symbol" w:cs="Symbol" w:ascii="Nimbus Roman" w:hAnsi="Nimbus Roman"/>
          <w:position w:val="0"/>
          <w:sz w:val="20"/>
          <w:vertAlign w:val="baseline"/>
        </w:rPr>
        <w:t>°</w:t>
      </w:r>
      <w:r>
        <w:rPr>
          <w:rStyle w:val="Heading6Char"/>
          <w:position w:val="0"/>
          <w:sz w:val="20"/>
          <w:vertAlign w:val="baseline"/>
        </w:rPr>
        <w:t>C</w:t>
      </w:r>
      <w:r>
        <w:rPr>
          <w:rStyle w:val="Heading6Char"/>
          <w:position w:val="0"/>
          <w:sz w:val="20"/>
          <w:vertAlign w:val="baseline"/>
        </w:rPr>
        <w:t xml:space="preserve">, </w:t>
      </w:r>
      <w:r>
        <w:rPr>
          <w:rStyle w:val="Heading6Char"/>
        </w:rPr>
        <w:t>then βLiZn</w:t>
      </w:r>
      <w:r>
        <w:rPr>
          <w:rStyle w:val="Heading6Char"/>
          <w:vertAlign w:val="subscript"/>
        </w:rPr>
        <w:t>2</w:t>
      </w:r>
      <w:r>
        <w:rPr>
          <w:rStyle w:val="Heading6Char"/>
        </w:rPr>
        <w:t xml:space="preserve"> undergoes gradual disordering from Li</w:t>
      </w:r>
      <w:r>
        <w:rPr>
          <w:rStyle w:val="Heading6Char"/>
          <w:vertAlign w:val="subscript"/>
        </w:rPr>
        <w:t>2</w:t>
      </w:r>
      <w:r>
        <w:rPr>
          <w:rStyle w:val="Heading6Char"/>
        </w:rPr>
        <w:t>AgSb-type structure into BiF</w:t>
      </w:r>
      <w:r>
        <w:rPr>
          <w:rStyle w:val="Heading6Char"/>
          <w:vertAlign w:val="subscript"/>
        </w:rPr>
        <w:t>3</w:t>
      </w:r>
      <w:r>
        <w:rPr>
          <w:rStyle w:val="Heading6Char"/>
        </w:rPr>
        <w:t xml:space="preserve">-type structure at temperatures between 150 and 250 </w:t>
      </w:r>
      <w:r>
        <w:rPr>
          <w:rStyle w:val="Heading6Char"/>
          <w:rFonts w:eastAsia="Symbol" w:cs="Symbol" w:ascii="Nimbus Roman" w:hAnsi="Nimbus Roman"/>
        </w:rPr>
        <w:t>°</w:t>
      </w:r>
      <w:r>
        <w:rPr>
          <w:rStyle w:val="Heading6Char"/>
        </w:rPr>
        <w:t>C. All that is in accordance with empirical rule, that temperature increase leads to increase of symmetry and degree of disorder.</w:t>
      </w:r>
    </w:p>
    <w:p>
      <w:pPr>
        <w:pStyle w:val="Normal"/>
        <w:rPr/>
      </w:pPr>
      <w:r>
        <w:rPr>
          <w:rStyle w:val="Heading6Char"/>
        </w:rPr>
        <w:t xml:space="preserve">Unexpectedly the compound </w:t>
      </w:r>
      <w:r>
        <w:rPr>
          <w:rStyle w:val="Heading6Char"/>
        </w:rPr>
        <w:t>Li</w:t>
      </w:r>
      <w:r>
        <w:rPr>
          <w:rStyle w:val="Heading6Char"/>
          <w:vertAlign w:val="subscript"/>
        </w:rPr>
        <w:t>2</w:t>
      </w:r>
      <w:r>
        <w:rPr>
          <w:rStyle w:val="Heading6Char"/>
        </w:rPr>
        <w:t>Zn</w:t>
      </w:r>
      <w:r>
        <w:rPr>
          <w:rStyle w:val="Heading6Char"/>
          <w:vertAlign w:val="subscript"/>
        </w:rPr>
        <w:t>5</w:t>
      </w:r>
      <w:r>
        <w:rPr>
          <w:rStyle w:val="Heading6Char"/>
          <w:position w:val="0"/>
          <w:sz w:val="20"/>
          <w:vertAlign w:val="baseline"/>
        </w:rPr>
        <w:t xml:space="preserve"> shows completely opposite traits. </w:t>
      </w:r>
      <w:r>
        <w:rPr>
          <w:rStyle w:val="Heading6Char"/>
          <w:position w:val="0"/>
          <w:sz w:val="20"/>
          <w:vertAlign w:val="baseline"/>
        </w:rPr>
        <w:t xml:space="preserve">The low-temperature modification </w:t>
      </w:r>
      <w:r>
        <w:rPr>
          <w:rStyle w:val="Heading6Char"/>
          <w:vertAlign w:val="subscript"/>
        </w:rPr>
        <w:t xml:space="preserve"> </w:t>
      </w:r>
      <w:r>
        <w:rPr>
          <w:rStyle w:val="Heading6Char"/>
          <w:position w:val="0"/>
          <w:sz w:val="20"/>
          <w:vertAlign w:val="baseline"/>
        </w:rPr>
        <w:t>αLi</w:t>
      </w:r>
      <w:r>
        <w:rPr>
          <w:rStyle w:val="Heading6Char"/>
          <w:vertAlign w:val="subscript"/>
        </w:rPr>
        <w:t>2</w:t>
      </w:r>
      <w:r>
        <w:rPr>
          <w:rStyle w:val="Heading6Char"/>
          <w:position w:val="0"/>
          <w:sz w:val="20"/>
          <w:vertAlign w:val="baseline"/>
        </w:rPr>
        <w:t>Zn</w:t>
      </w:r>
      <w:r>
        <w:rPr>
          <w:rStyle w:val="Heading6Char"/>
          <w:vertAlign w:val="subscript"/>
        </w:rPr>
        <w:t>5</w:t>
      </w:r>
      <w:r>
        <w:rPr>
          <w:rStyle w:val="Heading6Char"/>
          <w:position w:val="0"/>
          <w:sz w:val="20"/>
          <w:vertAlign w:val="baseline"/>
        </w:rPr>
        <w:t xml:space="preserve"> (</w:t>
      </w:r>
      <w:r>
        <w:rPr>
          <w:rStyle w:val="Heading6Char"/>
          <w:position w:val="0"/>
          <w:sz w:val="20"/>
          <w:vertAlign w:val="baseline"/>
        </w:rPr>
        <w:t xml:space="preserve">sp. gr. P-6, </w:t>
      </w:r>
      <w:r>
        <w:rPr>
          <w:rStyle w:val="Heading6Char"/>
          <w:position w:val="0"/>
          <w:sz w:val="20"/>
          <w:vertAlign w:val="baseline"/>
        </w:rPr>
        <w:t>a=</w:t>
      </w:r>
      <w:r>
        <w:rPr>
          <w:rStyle w:val="Heading6Char"/>
          <w:position w:val="0"/>
          <w:sz w:val="20"/>
          <w:vertAlign w:val="baseline"/>
        </w:rPr>
        <w:t xml:space="preserve">11.5523(4) </w:t>
      </w:r>
      <w:r>
        <w:rPr>
          <w:rStyle w:val="Heading6Char"/>
          <w:position w:val="0"/>
          <w:sz w:val="20"/>
          <w:vertAlign w:val="baseline"/>
        </w:rPr>
        <w:t>Å, c=</w:t>
      </w:r>
      <w:r>
        <w:rPr>
          <w:rStyle w:val="Heading6Char"/>
          <w:position w:val="0"/>
          <w:sz w:val="20"/>
          <w:vertAlign w:val="baseline"/>
        </w:rPr>
        <w:t>17.606</w:t>
      </w:r>
      <w:r>
        <w:rPr>
          <w:rStyle w:val="Heading6Char"/>
          <w:position w:val="0"/>
          <w:sz w:val="20"/>
          <w:vertAlign w:val="baseline"/>
        </w:rPr>
        <w:t>(2) Å</w:t>
      </w:r>
      <w:r>
        <w:rPr>
          <w:rStyle w:val="Heading6Char"/>
          <w:position w:val="0"/>
          <w:sz w:val="20"/>
          <w:vertAlign w:val="baseline"/>
        </w:rPr>
        <w:t>, 136 atoms/unit cell</w:t>
      </w:r>
      <w:r>
        <w:rPr>
          <w:rStyle w:val="Heading6Char"/>
          <w:position w:val="0"/>
          <w:sz w:val="20"/>
          <w:vertAlign w:val="baseline"/>
        </w:rPr>
        <w:t>) has hexagonal symmetry and is disordered</w:t>
      </w:r>
      <w:r>
        <w:rPr>
          <w:rStyle w:val="Heading6Char"/>
          <w:position w:val="0"/>
          <w:sz w:val="20"/>
          <w:vertAlign w:val="baseline"/>
        </w:rPr>
        <w:t>, it has 5 disordered sites, occupied by statistical mixture of Li and Zn. In contrast to that</w:t>
      </w:r>
      <w:r>
        <w:rPr>
          <w:rStyle w:val="Heading6Char"/>
          <w:position w:val="0"/>
          <w:sz w:val="20"/>
          <w:vertAlign w:val="baseline"/>
        </w:rPr>
        <w:t xml:space="preserve"> high-temperature </w:t>
      </w:r>
      <w:r>
        <w:rPr>
          <w:rStyle w:val="Heading6Char"/>
          <w:position w:val="0"/>
          <w:sz w:val="20"/>
          <w:vertAlign w:val="baseline"/>
        </w:rPr>
        <w:t>modification</w:t>
      </w:r>
      <w:r>
        <w:rPr>
          <w:rStyle w:val="Heading6Char"/>
          <w:position w:val="0"/>
          <w:sz w:val="20"/>
          <w:vertAlign w:val="baseline"/>
        </w:rPr>
        <w:t xml:space="preserve"> </w:t>
      </w:r>
      <w:r>
        <w:rPr>
          <w:rStyle w:val="Heading6Char"/>
          <w:position w:val="0"/>
          <w:sz w:val="20"/>
          <w:vertAlign w:val="baseline"/>
        </w:rPr>
        <w:t>βLi</w:t>
      </w:r>
      <w:r>
        <w:rPr>
          <w:rStyle w:val="Heading6Char"/>
          <w:vertAlign w:val="subscript"/>
        </w:rPr>
        <w:t>2</w:t>
      </w:r>
      <w:r>
        <w:rPr>
          <w:rStyle w:val="Heading6Char"/>
          <w:position w:val="0"/>
          <w:sz w:val="20"/>
          <w:vertAlign w:val="baseline"/>
        </w:rPr>
        <w:t>Zn</w:t>
      </w:r>
      <w:r>
        <w:rPr>
          <w:rStyle w:val="Heading6Char"/>
          <w:vertAlign w:val="subscript"/>
        </w:rPr>
        <w:t>5</w:t>
      </w:r>
      <w:r>
        <w:rPr>
          <w:rStyle w:val="Heading6Char"/>
          <w:position w:val="0"/>
          <w:sz w:val="20"/>
          <w:vertAlign w:val="baseline"/>
        </w:rPr>
        <w:t>(space group P-1, 86 atoms/unit cell)</w:t>
      </w:r>
      <w:r>
        <w:rPr>
          <w:rStyle w:val="Heading6Char"/>
          <w:position w:val="0"/>
          <w:sz w:val="20"/>
          <w:vertAlign w:val="baseline"/>
        </w:rPr>
        <w:t xml:space="preserve"> has triclinic symmetry and is almost completely ordered</w:t>
      </w:r>
      <w:r>
        <w:rPr>
          <w:rStyle w:val="Heading6Char"/>
          <w:position w:val="0"/>
          <w:sz w:val="20"/>
          <w:vertAlign w:val="baseline"/>
        </w:rPr>
        <w:t xml:space="preserve"> with single partially occupied lithium position</w:t>
      </w:r>
      <w:r>
        <w:rPr>
          <w:rStyle w:val="Heading6Char"/>
          <w:position w:val="0"/>
          <w:sz w:val="20"/>
          <w:vertAlign w:val="baseline"/>
        </w:rPr>
        <w:t xml:space="preserve">. </w:t>
      </w:r>
      <w:r>
        <w:rPr>
          <w:rStyle w:val="Heading6Char"/>
          <w:position w:val="0"/>
          <w:sz w:val="20"/>
          <w:vertAlign w:val="baseline"/>
        </w:rPr>
        <w:t>The analysis of the electronic density maps of α/βLi</w:t>
      </w:r>
      <w:r>
        <w:rPr>
          <w:rStyle w:val="Heading6Char"/>
          <w:vertAlign w:val="subscript"/>
        </w:rPr>
        <w:t>2</w:t>
      </w:r>
      <w:r>
        <w:rPr>
          <w:rStyle w:val="Heading6Char"/>
          <w:position w:val="0"/>
          <w:sz w:val="20"/>
          <w:vertAlign w:val="baseline"/>
        </w:rPr>
        <w:t>Zn</w:t>
      </w:r>
      <w:r>
        <w:rPr>
          <w:rStyle w:val="Heading6Char"/>
          <w:vertAlign w:val="subscript"/>
        </w:rPr>
        <w:t>5</w:t>
      </w:r>
      <w:r>
        <w:rPr>
          <w:rStyle w:val="Heading6Char"/>
          <w:position w:val="0"/>
          <w:sz w:val="20"/>
          <w:vertAlign w:val="baseline"/>
        </w:rPr>
        <w:t xml:space="preserve">, calculated by DFT method, gives hints concerning possible mechanism of the polymorphic transformation of this compound. Both modifications share common motif despite large structural differences. It is lithium filled channels, made of zinc atoms. The </w:t>
      </w:r>
      <w:r>
        <w:rPr>
          <w:rStyle w:val="Heading6Char"/>
          <w:vertAlign w:val="subscript"/>
        </w:rPr>
        <w:t>5</w:t>
      </w:r>
      <w:r>
        <w:rPr>
          <w:rStyle w:val="Heading6Char"/>
          <w:position w:val="0"/>
          <w:sz w:val="20"/>
          <w:vertAlign w:val="baseline"/>
        </w:rPr>
        <w:t>specific structural feature of the βLi</w:t>
      </w:r>
      <w:r>
        <w:rPr>
          <w:rStyle w:val="Heading6Char"/>
          <w:vertAlign w:val="subscript"/>
        </w:rPr>
        <w:t>2</w:t>
      </w:r>
      <w:r>
        <w:rPr>
          <w:rStyle w:val="Heading6Char"/>
          <w:position w:val="0"/>
          <w:sz w:val="20"/>
          <w:vertAlign w:val="baseline"/>
        </w:rPr>
        <w:t>Zn</w:t>
      </w:r>
      <w:r>
        <w:rPr>
          <w:rStyle w:val="Heading6Char"/>
          <w:vertAlign w:val="subscript"/>
        </w:rPr>
        <w:t>5</w:t>
      </w:r>
      <w:r>
        <w:rPr>
          <w:rStyle w:val="Heading6Char"/>
          <w:position w:val="0"/>
          <w:sz w:val="20"/>
          <w:vertAlign w:val="baseline"/>
        </w:rPr>
        <w:t xml:space="preserve"> is 7- and 17-member Li atom chains inside the Zn channels, while αLi</w:t>
      </w:r>
      <w:r>
        <w:rPr>
          <w:rStyle w:val="Heading6Char"/>
          <w:vertAlign w:val="subscript"/>
        </w:rPr>
        <w:t>2</w:t>
      </w:r>
      <w:r>
        <w:rPr>
          <w:rStyle w:val="Heading6Char"/>
          <w:position w:val="0"/>
          <w:sz w:val="20"/>
          <w:vertAlign w:val="baseline"/>
        </w:rPr>
        <w:t>Zn</w:t>
      </w:r>
      <w:r>
        <w:rPr>
          <w:rStyle w:val="Heading6Char"/>
          <w:vertAlign w:val="subscript"/>
        </w:rPr>
        <w:t>5</w:t>
      </w:r>
      <w:r>
        <w:rPr>
          <w:rStyle w:val="Heading6Char"/>
          <w:position w:val="0"/>
          <w:sz w:val="20"/>
          <w:vertAlign w:val="baseline"/>
        </w:rPr>
        <w:t xml:space="preserve"> has similar 6-member Li chains and almost infinite Li chains, terminated on by Zn atoms in mixed Li25/Zn25 and Li26/Zn26 mixed sites. Both αLi</w:t>
      </w:r>
      <w:r>
        <w:rPr>
          <w:rStyle w:val="Heading6Char"/>
          <w:vertAlign w:val="subscript"/>
        </w:rPr>
        <w:t>2</w:t>
      </w:r>
      <w:r>
        <w:rPr>
          <w:rStyle w:val="Heading6Char"/>
          <w:position w:val="0"/>
          <w:sz w:val="20"/>
          <w:vertAlign w:val="baseline"/>
        </w:rPr>
        <w:t>Zn</w:t>
      </w:r>
      <w:r>
        <w:rPr>
          <w:rStyle w:val="Heading6Char"/>
          <w:vertAlign w:val="subscript"/>
        </w:rPr>
        <w:t>5</w:t>
      </w:r>
      <w:r>
        <w:rPr>
          <w:rStyle w:val="Heading6Char"/>
          <w:position w:val="0"/>
          <w:sz w:val="20"/>
          <w:vertAlign w:val="baseline"/>
        </w:rPr>
        <w:t xml:space="preserve"> and βLi</w:t>
      </w:r>
      <w:r>
        <w:rPr>
          <w:rStyle w:val="Heading6Char"/>
          <w:vertAlign w:val="subscript"/>
        </w:rPr>
        <w:t>2</w:t>
      </w:r>
      <w:r>
        <w:rPr>
          <w:rStyle w:val="Heading6Char"/>
          <w:position w:val="0"/>
          <w:sz w:val="20"/>
          <w:vertAlign w:val="baseline"/>
        </w:rPr>
        <w:t>Zn</w:t>
      </w:r>
      <w:r>
        <w:rPr>
          <w:rStyle w:val="Heading6Char"/>
          <w:vertAlign w:val="subscript"/>
        </w:rPr>
        <w:t>5</w:t>
      </w:r>
      <w:r>
        <w:rPr>
          <w:rStyle w:val="Heading6Char"/>
          <w:position w:val="0"/>
          <w:sz w:val="20"/>
          <w:vertAlign w:val="baseline"/>
        </w:rPr>
        <w:t xml:space="preserve"> have indirect contacts between Li chains through the openings in Zn channels. The suggested mechanism of polymorphic transformation, substantiated by our calculations, is the rearrangement of Li atoms inside Zn-channels leading to changes of the unit cell, symmetry and some disordering of Zn atoms, forming the walls of the channels</w:t>
      </w:r>
    </w:p>
    <w:p>
      <w:pPr>
        <w:pStyle w:val="Normal"/>
        <w:rPr/>
      </w:pPr>
      <w:r>
        <w:rPr>
          <w:rStyle w:val="Heading6Char"/>
        </w:rPr>
        <w:t>The high-temperature modification βLiZn</w:t>
      </w:r>
      <w:r>
        <w:rPr>
          <w:rStyle w:val="Heading6Char"/>
          <w:vertAlign w:val="subscript"/>
        </w:rPr>
        <w:t>4</w:t>
      </w:r>
      <w:r>
        <w:rPr>
          <w:rStyle w:val="Heading6Char"/>
        </w:rPr>
        <w:t xml:space="preserve"> (sp. gr. P6</w:t>
      </w:r>
      <w:r>
        <w:rPr>
          <w:rStyle w:val="Heading6Char"/>
          <w:vertAlign w:val="subscript"/>
        </w:rPr>
        <w:t>3</w:t>
      </w:r>
      <w:r>
        <w:rPr>
          <w:rStyle w:val="Heading6Char"/>
        </w:rPr>
        <w:t xml:space="preserve">/m, a=19.376(4) </w:t>
      </w:r>
      <w:r>
        <w:rPr>
          <w:rStyle w:val="Heading6Char"/>
          <w:position w:val="0"/>
          <w:sz w:val="20"/>
          <w:vertAlign w:val="baseline"/>
        </w:rPr>
        <w:t>Å</w:t>
      </w:r>
      <w:r>
        <w:rPr>
          <w:rStyle w:val="Heading6Char"/>
          <w:position w:val="0"/>
          <w:sz w:val="20"/>
          <w:vertAlign w:val="baseline"/>
        </w:rPr>
        <w:t xml:space="preserve">, c=4.386(1) </w:t>
      </w:r>
      <w:r>
        <w:rPr>
          <w:rStyle w:val="Heading6Char"/>
          <w:position w:val="0"/>
          <w:sz w:val="20"/>
          <w:vertAlign w:val="baseline"/>
        </w:rPr>
        <w:t>Å</w:t>
      </w:r>
      <w:r>
        <w:rPr>
          <w:rStyle w:val="Heading6Char"/>
        </w:rPr>
        <w:t>) consists of the same hcp motif as both αLiZn</w:t>
      </w:r>
      <w:r>
        <w:rPr>
          <w:rStyle w:val="Heading6Char"/>
          <w:vertAlign w:val="subscript"/>
        </w:rPr>
        <w:t>4</w:t>
      </w:r>
      <w:r>
        <w:rPr>
          <w:rStyle w:val="Heading6Char"/>
          <w:position w:val="0"/>
          <w:sz w:val="20"/>
          <w:vertAlign w:val="baseline"/>
        </w:rPr>
        <w:t xml:space="preserve"> (LiZn</w:t>
      </w:r>
      <w:r>
        <w:rPr>
          <w:rStyle w:val="Heading6Char"/>
          <w:vertAlign w:val="subscript"/>
        </w:rPr>
        <w:t>4</w:t>
      </w:r>
      <w:r>
        <w:rPr>
          <w:rStyle w:val="Heading6Char"/>
          <w:vertAlign w:val="subscript"/>
        </w:rPr>
        <w:t>-</w:t>
      </w:r>
      <w:r>
        <w:rPr>
          <w:rStyle w:val="Heading6Char"/>
          <w:vertAlign w:val="subscript"/>
        </w:rPr>
        <w:t>x</w:t>
      </w:r>
      <w:r>
        <w:rPr>
          <w:rStyle w:val="Heading6Char"/>
          <w:position w:val="0"/>
          <w:sz w:val="20"/>
          <w:vertAlign w:val="baseline"/>
        </w:rPr>
        <w:t xml:space="preserve">, </w:t>
      </w:r>
      <w:r>
        <w:rPr>
          <w:rStyle w:val="Heading6Char"/>
          <w:position w:val="0"/>
          <w:sz w:val="20"/>
          <w:vertAlign w:val="baseline"/>
        </w:rPr>
        <w:t>x=0.825</w:t>
      </w:r>
      <w:r>
        <w:rPr>
          <w:rStyle w:val="Heading6Char"/>
          <w:position w:val="0"/>
          <w:sz w:val="20"/>
          <w:vertAlign w:val="baseline"/>
        </w:rPr>
        <w:t xml:space="preserve"> [3]</w:t>
      </w:r>
      <w:r>
        <w:rPr>
          <w:rStyle w:val="Heading6Char"/>
          <w:position w:val="0"/>
          <w:sz w:val="20"/>
          <w:vertAlign w:val="baseline"/>
        </w:rPr>
        <w:t xml:space="preserve">) and elementary zinc. </w:t>
      </w:r>
      <w:r>
        <w:rPr>
          <w:rStyle w:val="Heading6Char"/>
          <w:position w:val="0"/>
          <w:sz w:val="20"/>
          <w:vertAlign w:val="baseline"/>
        </w:rPr>
        <w:t>Both</w:t>
      </w:r>
      <w:r>
        <w:rPr>
          <w:rStyle w:val="Heading6Char"/>
          <w:position w:val="0"/>
          <w:sz w:val="20"/>
          <w:vertAlign w:val="baseline"/>
        </w:rPr>
        <w:t xml:space="preserve"> </w:t>
      </w:r>
      <w:r>
        <w:rPr>
          <w:rStyle w:val="Heading6Char"/>
          <w:position w:val="0"/>
          <w:sz w:val="20"/>
          <w:vertAlign w:val="baseline"/>
        </w:rPr>
        <w:t>α</w:t>
      </w:r>
      <w:r>
        <w:rPr>
          <w:rStyle w:val="Heading6Char"/>
          <w:position w:val="0"/>
          <w:sz w:val="20"/>
          <w:vertAlign w:val="baseline"/>
        </w:rPr>
        <w:t xml:space="preserve"> and </w:t>
      </w:r>
      <w:r>
        <w:rPr>
          <w:rStyle w:val="Heading6Char"/>
          <w:position w:val="0"/>
          <w:sz w:val="20"/>
          <w:vertAlign w:val="baseline"/>
        </w:rPr>
        <w:t>βLiZn</w:t>
      </w:r>
      <w:r>
        <w:rPr>
          <w:rStyle w:val="Heading6Char"/>
          <w:vertAlign w:val="subscript"/>
        </w:rPr>
        <w:t>4</w:t>
      </w:r>
      <w:r>
        <w:rPr>
          <w:rStyle w:val="Heading6Char"/>
          <w:position w:val="0"/>
          <w:sz w:val="20"/>
          <w:vertAlign w:val="baseline"/>
        </w:rPr>
        <w:t xml:space="preserve"> have different ordering of mixed sites, leading to very distinct unit cells.</w:t>
      </w:r>
      <w:r>
        <w:rPr>
          <w:rStyle w:val="Heading6Char"/>
          <w:position w:val="0"/>
          <w:sz w:val="20"/>
          <w:vertAlign w:val="baseline"/>
        </w:rPr>
        <w:t xml:space="preserve"> The structure of </w:t>
      </w:r>
      <w:r>
        <w:rPr>
          <w:rStyle w:val="Heading6Char"/>
          <w:position w:val="0"/>
          <w:sz w:val="20"/>
          <w:vertAlign w:val="baseline"/>
        </w:rPr>
        <w:t>βLiZn</w:t>
      </w:r>
      <w:r>
        <w:rPr>
          <w:rStyle w:val="Heading6Char"/>
          <w:vertAlign w:val="subscript"/>
        </w:rPr>
        <w:t>4</w:t>
      </w:r>
      <w:r>
        <w:rPr>
          <w:rStyle w:val="Heading6Char"/>
          <w:position w:val="0"/>
          <w:sz w:val="20"/>
          <w:vertAlign w:val="baseline"/>
        </w:rPr>
        <w:t xml:space="preserve"> is partially ordered </w:t>
      </w:r>
      <w:r>
        <w:rPr>
          <w:rStyle w:val="Heading6Char"/>
          <w:position w:val="0"/>
          <w:sz w:val="20"/>
          <w:vertAlign w:val="baseline"/>
        </w:rPr>
        <w:t>derivative of HCP. It can be obtained by creating 7x7x1 supercell from the unit cell of zinc with subsequent partial substitution of zinc by lithium in part of positions.</w:t>
      </w:r>
    </w:p>
    <w:p>
      <w:pPr>
        <w:pStyle w:val="Heading4"/>
        <w:rPr/>
      </w:pPr>
      <w:r>
        <w:rPr/>
        <w:t xml:space="preserve">[1] </w:t>
      </w:r>
      <w:r>
        <w:rPr/>
        <w:t xml:space="preserve">G. Grube &amp; H. Vosskühler, (1933). </w:t>
      </w:r>
      <w:r>
        <w:rPr>
          <w:i/>
          <w:iCs/>
        </w:rPr>
        <w:t>Z. Anorg. Allg. Chem.</w:t>
      </w:r>
      <w:r>
        <w:rPr/>
        <w:t xml:space="preserve">, </w:t>
      </w:r>
      <w:r>
        <w:rPr>
          <w:b/>
          <w:bCs/>
        </w:rPr>
        <w:t>215</w:t>
      </w:r>
      <w:r>
        <w:rPr/>
        <w:t xml:space="preserve">, 211-224. </w:t>
      </w:r>
    </w:p>
    <w:p>
      <w:pPr>
        <w:pStyle w:val="Heading4"/>
        <w:rPr/>
      </w:pPr>
      <w:r>
        <w:rPr/>
        <w:t xml:space="preserve">[2] </w:t>
      </w:r>
      <w:r>
        <w:rPr/>
        <w:t xml:space="preserve">A.D Pelton, (1991). </w:t>
      </w:r>
      <w:r>
        <w:rPr>
          <w:i/>
          <w:iCs/>
        </w:rPr>
        <w:t>J. Phase Equilib.</w:t>
      </w:r>
      <w:r>
        <w:rPr/>
        <w:t xml:space="preserve">, </w:t>
      </w:r>
      <w:r>
        <w:rPr>
          <w:b/>
          <w:bCs/>
        </w:rPr>
        <w:t>12</w:t>
      </w:r>
      <w:r>
        <w:rPr/>
        <w:t xml:space="preserve">, 42-45. </w:t>
      </w:r>
    </w:p>
    <w:p>
      <w:pPr>
        <w:pStyle w:val="Heading4"/>
        <w:rPr/>
      </w:pPr>
      <w:r>
        <w:rPr/>
        <w:t>[</w:t>
      </w:r>
      <w:r>
        <w:rPr/>
        <w:t>3</w:t>
      </w:r>
      <w:r>
        <w:rPr/>
        <w:t xml:space="preserve">] </w:t>
      </w:r>
      <w:r>
        <w:rPr/>
        <w:t xml:space="preserve">V. Pavlyuk, I. Chumak, L. Akselrud, S. Lidin &amp; H. Ehrenberg, (2014). </w:t>
      </w:r>
      <w:r>
        <w:rPr>
          <w:i/>
          <w:iCs/>
        </w:rPr>
        <w:t>Acta Cryst</w:t>
      </w:r>
      <w:r>
        <w:rPr>
          <w:i/>
          <w:iCs/>
        </w:rPr>
        <w:t>.</w:t>
      </w:r>
      <w:r>
        <w:rPr/>
        <w:t xml:space="preserve">, </w:t>
      </w:r>
      <w:r>
        <w:rPr>
          <w:b/>
          <w:bCs/>
        </w:rPr>
        <w:t>B70</w:t>
      </w:r>
      <w:r>
        <w:rPr/>
        <w:t>, 212-217.</w:t>
      </w:r>
    </w:p>
    <w:p>
      <w:pPr>
        <w:pStyle w:val="Acknowledgement"/>
        <w:spacing w:before="0" w:after="120"/>
        <w:rPr/>
      </w:pPr>
      <w:r>
        <w:rPr>
          <w:lang w:eastAsia="cs-CZ"/>
        </w:rPr>
        <w:t>Acknowl</w:t>
      </w:r>
      <w:r>
        <w:rPr>
          <w:lang w:eastAsia="cs-CZ"/>
        </w:rPr>
        <w:t>e</w:t>
      </w:r>
      <w:r>
        <w:rPr>
          <w:lang w:eastAsia="cs-CZ"/>
        </w:rPr>
        <w:t xml:space="preserve">dgement: The computations were performed on resources provided by the Swedish National Infrastructure for Computing (SNIC) at </w:t>
      </w:r>
      <w:r>
        <w:rPr>
          <w:lang w:eastAsia="cs-CZ"/>
        </w:rPr>
        <w:t xml:space="preserve">The Centre for Scientific and Technical Computing at Lund University </w:t>
      </w:r>
      <w:r>
        <w:rPr>
          <w:lang w:eastAsia="cs-CZ"/>
        </w:rPr>
        <w:t>(</w:t>
      </w:r>
      <w:r>
        <w:rPr>
          <w:lang w:eastAsia="cs-CZ"/>
        </w:rPr>
        <w:t>LUNARC</w:t>
      </w:r>
      <w:r>
        <w:rPr>
          <w:lang w:eastAsia="cs-CZ"/>
        </w:rPr>
        <w:t>)</w:t>
      </w:r>
      <w:r>
        <w:rPr>
          <w:lang w:eastAsia="cs-CZ"/>
        </w:rPr>
        <w:t>, Aurora cluster, project SNIC 2019/6-35</w:t>
      </w:r>
      <w:r>
        <w:rPr>
          <w:lang w:eastAsia="cs-CZ"/>
        </w:rPr>
        <w:t>.</w:t>
      </w:r>
    </w:p>
    <w:sectPr>
      <w:headerReference w:type="default" r:id="rId2"/>
      <w:footerReference w:type="default" r:id="rId3"/>
      <w:type w:val="nextPage"/>
      <w:pgSz w:w="12240" w:h="15840"/>
      <w:pgMar w:left="720" w:right="720" w:header="708" w:top="765" w:footer="708" w:bottom="765" w:gutter="0"/>
      <w:pgNumType w:fmt="decimal"/>
      <w:formProt w:val="false"/>
      <w:textDirection w:val="lrTb"/>
      <w:docGrid w:type="default" w:linePitch="32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Nimbus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Acta Cryst. (2025). A81, e1</w:t>
    </w:r>
  </w:p>
  <w:p>
    <w:pPr>
      <w:pStyle w:val="Normal"/>
      <w:tabs>
        <w:tab w:val="center" w:pos="4703" w:leader="none"/>
        <w:tab w:val="right" w:pos="9406" w:leader="none"/>
      </w:tabs>
      <w:spacing w:before="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703" w:leader="none"/>
        <w:tab w:val="right" w:pos="9406" w:leader="none"/>
      </w:tabs>
      <w:spacing w:before="0" w:after="120"/>
      <w:rPr/>
    </w:pPr>
    <w:r>
      <w:rPr>
        <w:b/>
        <w:bCs/>
      </w:rPr>
      <w:t>M</w:t>
    </w:r>
    <w:r>
      <w:rPr>
        <w:b/>
        <w:bCs/>
      </w:rPr>
      <w:t>30</w:t>
    </w:r>
    <w:r>
      <w:rPr/>
      <w:tab/>
    </w:r>
    <w:r>
      <w:rPr>
        <w:b/>
        <w:bCs/>
      </w:rPr>
      <w:t>Polymorphism and phase transitions</w:t>
    </w:r>
    <w:r>
      <w:rPr/>
      <w:tab/>
    </w:r>
  </w:p>
</w:hdr>
</file>

<file path=word/settings.xml><?xml version="1.0" encoding="utf-8"?>
<w:settings xmlns:w="http://schemas.openxmlformats.org/wordprocessingml/2006/main">
  <w:zoom w:percent="160"/>
  <w:embedSystemFonts/>
  <w:defaultTabStop w:val="720"/>
  <w:autoHyphenation w:val="false"/>
  <w:compat>
    <w:compatSetting w:name="compatibilityMode" w:uri="http://schemas.microsoft.com/office/word" w:val="1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99" w:defSemiHidden="0" w:defUnhideWhenUsed="0" w:defQFormat="0" w:count="371">
    <w:lsdException w:name="Normal" w:uiPriority="0"/>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5275"/>
    <w:pPr>
      <w:widowControl/>
      <w:suppressAutoHyphens w:val="true"/>
      <w:bidi w:val="0"/>
      <w:spacing w:before="0" w:after="120"/>
      <w:jc w:val="both"/>
    </w:pPr>
    <w:rPr>
      <w:rFonts w:ascii="Times New Roman" w:hAnsi="Times New Roman" w:eastAsia="Times New Roman" w:cs="Times New Roman"/>
      <w:color w:val="00000A"/>
      <w:sz w:val="20"/>
      <w:szCs w:val="20"/>
      <w:lang w:val="en-GB" w:eastAsia="de-DE" w:bidi="ar-SA"/>
    </w:rPr>
  </w:style>
  <w:style w:type="paragraph" w:styleId="Heading1">
    <w:name w:val="Heading 1"/>
    <w:basedOn w:val="Normal"/>
    <w:next w:val="Heading2"/>
    <w:link w:val="Heading1Char"/>
    <w:uiPriority w:val="99"/>
    <w:qFormat/>
    <w:rsid w:val="00925275"/>
    <w:pPr>
      <w:keepNext w:val="true"/>
      <w:spacing w:before="240" w:after="60"/>
      <w:jc w:val="center"/>
      <w:outlineLvl w:val="0"/>
    </w:pPr>
    <w:rPr>
      <w:rFonts w:ascii="Arial" w:hAnsi="Arial" w:cs="Arial"/>
      <w:b/>
      <w:bCs/>
      <w:sz w:val="24"/>
      <w:szCs w:val="32"/>
    </w:rPr>
  </w:style>
  <w:style w:type="paragraph" w:styleId="Heading2">
    <w:name w:val="Heading 2"/>
    <w:basedOn w:val="Normal"/>
    <w:next w:val="Heading3"/>
    <w:link w:val="Heading2Char"/>
    <w:uiPriority w:val="99"/>
    <w:qFormat/>
    <w:rsid w:val="00925275"/>
    <w:pPr>
      <w:keepNext w:val="true"/>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val="true"/>
      <w:jc w:val="center"/>
      <w:outlineLvl w:val="2"/>
    </w:pPr>
    <w:rPr>
      <w:bCs/>
      <w:i/>
      <w:szCs w:val="24"/>
      <w:lang w:eastAsia="cs-CZ"/>
    </w:rPr>
  </w:style>
  <w:style w:type="paragraph" w:styleId="Heading4">
    <w:name w:val="Heading 4"/>
    <w:basedOn w:val="Normal"/>
    <w:next w:val="Normal"/>
    <w:link w:val="Heading4Char"/>
    <w:uiPriority w:val="99"/>
    <w:qFormat/>
    <w:rsid w:val="00ff732e"/>
    <w:pPr>
      <w:keepNext w:val="true"/>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before="0" w:after="60"/>
      <w:jc w:val="center"/>
      <w:outlineLvl w:val="5"/>
    </w:pPr>
    <w:rPr>
      <w:bCs/>
      <w:szCs w:val="22"/>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qFormat/>
    <w:locked/>
    <w:rsid w:val="00925275"/>
    <w:rPr>
      <w:rFonts w:ascii="Arial" w:hAnsi="Arial" w:cs="Arial"/>
      <w:b/>
      <w:bCs/>
      <w:sz w:val="24"/>
      <w:szCs w:val="32"/>
      <w:lang w:val="en-GB" w:eastAsia="de-DE"/>
    </w:rPr>
  </w:style>
  <w:style w:type="character" w:styleId="Heading2Char" w:customStyle="1">
    <w:name w:val="Heading 2 Char"/>
    <w:link w:val="Heading2"/>
    <w:uiPriority w:val="99"/>
    <w:qFormat/>
    <w:locked/>
    <w:rsid w:val="00925275"/>
    <w:rPr>
      <w:rFonts w:ascii="Arial" w:hAnsi="Arial" w:cs="Arial"/>
      <w:b/>
      <w:bCs/>
      <w:iCs/>
      <w:sz w:val="22"/>
      <w:szCs w:val="28"/>
      <w:lang w:val="en-GB" w:eastAsia="de-DE"/>
    </w:rPr>
  </w:style>
  <w:style w:type="character" w:styleId="Heading3Char" w:customStyle="1">
    <w:name w:val="Heading 3 Char"/>
    <w:link w:val="Heading3"/>
    <w:uiPriority w:val="99"/>
    <w:qFormat/>
    <w:locked/>
    <w:rsid w:val="002e03db"/>
    <w:rPr>
      <w:bCs/>
      <w:i/>
      <w:sz w:val="22"/>
      <w:szCs w:val="24"/>
      <w:lang w:val="en-GB"/>
    </w:rPr>
  </w:style>
  <w:style w:type="character" w:styleId="Heading4Char" w:customStyle="1">
    <w:name w:val="Heading 4 Char"/>
    <w:link w:val="Heading4"/>
    <w:uiPriority w:val="99"/>
    <w:qFormat/>
    <w:locked/>
    <w:rsid w:val="00ff732e"/>
    <w:rPr>
      <w:bCs/>
      <w:sz w:val="18"/>
      <w:szCs w:val="24"/>
      <w:lang w:val="en-GB"/>
    </w:rPr>
  </w:style>
  <w:style w:type="character" w:styleId="HTMLAddressChar" w:customStyle="1">
    <w:name w:val="HTML Address Char"/>
    <w:link w:val="HTMLAddress"/>
    <w:uiPriority w:val="99"/>
    <w:semiHidden/>
    <w:qFormat/>
    <w:rsid w:val="005e6dcd"/>
    <w:rPr>
      <w:i/>
      <w:iCs/>
      <w:lang w:val="de-DE" w:eastAsia="de-DE"/>
    </w:rPr>
  </w:style>
  <w:style w:type="character" w:styleId="Heading5Char" w:customStyle="1">
    <w:name w:val="Heading 5 Char"/>
    <w:link w:val="Heading5"/>
    <w:uiPriority w:val="9"/>
    <w:qFormat/>
    <w:rsid w:val="00605a18"/>
    <w:rPr>
      <w:b/>
      <w:bCs/>
      <w:szCs w:val="22"/>
      <w:lang w:val="en-GB" w:eastAsia="de-DE"/>
    </w:rPr>
  </w:style>
  <w:style w:type="character" w:styleId="Heading6Char" w:customStyle="1">
    <w:name w:val="Heading 6 Char"/>
    <w:link w:val="Heading6"/>
    <w:uiPriority w:val="9"/>
    <w:qFormat/>
    <w:rsid w:val="00777da8"/>
    <w:rPr>
      <w:rFonts w:eastAsia="Times New Roman" w:cs="Times New Roman"/>
      <w:bCs/>
      <w:szCs w:val="22"/>
      <w:lang w:val="de-DE" w:eastAsia="de-DE"/>
    </w:rPr>
  </w:style>
  <w:style w:type="character" w:styleId="HeaderChar" w:customStyle="1">
    <w:name w:val="Header Char"/>
    <w:link w:val="Header"/>
    <w:uiPriority w:val="99"/>
    <w:qFormat/>
    <w:rsid w:val="00d13351"/>
    <w:rPr>
      <w:lang w:val="en-GB" w:eastAsia="de-DE"/>
    </w:rPr>
  </w:style>
  <w:style w:type="character" w:styleId="FooterChar" w:customStyle="1">
    <w:name w:val="Footer Char"/>
    <w:link w:val="Footer"/>
    <w:uiPriority w:val="99"/>
    <w:qFormat/>
    <w:rsid w:val="00d13351"/>
    <w:rPr>
      <w:lang w:val="en-GB" w:eastAsia="de-DE"/>
    </w:rPr>
  </w:style>
  <w:style w:type="character" w:styleId="BalloonTextChar" w:customStyle="1">
    <w:name w:val="Balloon Text Char"/>
    <w:link w:val="BalloonText"/>
    <w:uiPriority w:val="99"/>
    <w:semiHidden/>
    <w:qFormat/>
    <w:rsid w:val="00c64dbe"/>
    <w:rPr>
      <w:rFonts w:ascii="Tahoma" w:hAnsi="Tahoma" w:cs="Tahoma"/>
      <w:sz w:val="16"/>
      <w:szCs w:val="16"/>
      <w:lang w:val="en-GB" w:eastAsia="de-DE"/>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Acknowledgement" w:customStyle="1">
    <w:name w:val="Acknowledgement"/>
    <w:basedOn w:val="Normal"/>
    <w:qFormat/>
    <w:rsid w:val="00777da8"/>
    <w:pPr/>
    <w:rPr>
      <w:i/>
    </w:rPr>
  </w:style>
  <w:style w:type="paragraph" w:styleId="HTMLAddress">
    <w:name w:val="HTML Address"/>
    <w:basedOn w:val="Normal"/>
    <w:link w:val="HTMLAddressChar"/>
    <w:uiPriority w:val="99"/>
    <w:semiHidden/>
    <w:unhideWhenUsed/>
    <w:qFormat/>
    <w:rsid w:val="005e6dcd"/>
    <w:pPr/>
    <w:rPr>
      <w:i/>
      <w:iCs/>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d13351"/>
    <w:pPr>
      <w:tabs>
        <w:tab w:val="center" w:pos="4536" w:leader="none"/>
        <w:tab w:val="right" w:pos="9072" w:leader="none"/>
      </w:tabs>
    </w:pPr>
    <w:rPr/>
  </w:style>
  <w:style w:type="paragraph" w:styleId="Footer">
    <w:name w:val="Footer"/>
    <w:basedOn w:val="Normal"/>
    <w:link w:val="FooterChar"/>
    <w:uiPriority w:val="99"/>
    <w:unhideWhenUsed/>
    <w:rsid w:val="00d13351"/>
    <w:pPr>
      <w:tabs>
        <w:tab w:val="center" w:pos="4536" w:leader="none"/>
        <w:tab w:val="right" w:pos="9072" w:leader="none"/>
      </w:tabs>
    </w:pPr>
    <w:rPr/>
  </w:style>
  <w:style w:type="paragraph" w:styleId="BalloonText">
    <w:name w:val="Balloon Text"/>
    <w:basedOn w:val="Normal"/>
    <w:link w:val="BalloonTextChar"/>
    <w:uiPriority w:val="99"/>
    <w:semiHidden/>
    <w:unhideWhenUsed/>
    <w:qFormat/>
    <w:rsid w:val="00c64dbe"/>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c26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Application>LibreOffice/5.3.7.2.0$Linux_X86_64 LibreOffice_project/30$Build-2</Application>
  <Pages>1</Pages>
  <Words>828</Words>
  <Characters>4785</Characters>
  <CharactersWithSpaces>5605</CharactersWithSpaces>
  <Paragraphs>15</Paragraphs>
  <Company>MFF UK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2019-09-04T15:26:00Z</dcterms:created>
  <dc:creator>Uživatel systému Windows</dc:creator>
  <dc:description/>
  <dc:language>en-GB</dc:language>
  <cp:lastModifiedBy/>
  <dcterms:modified xsi:type="dcterms:W3CDTF">2025-05-11T00:50:04Z</dcterms:modified>
  <cp:revision>65</cp:revision>
  <dc:subject/>
  <dc:title>Materials Structure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MFF UK</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