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A1ED" w14:textId="569560EC" w:rsidR="00943B04" w:rsidRDefault="001126CB">
      <w:pPr>
        <w:pStyle w:val="Nagwek1"/>
      </w:pPr>
      <w:r>
        <w:t xml:space="preserve">From intrinsic </w:t>
      </w:r>
      <w:r w:rsidR="00B25BB5">
        <w:t>octameric</w:t>
      </w:r>
      <w:r>
        <w:t xml:space="preserve"> clusters to wires and tapes – the </w:t>
      </w:r>
      <w:r w:rsidR="00B25BB5">
        <w:t>diversity of water structures stabilized by unclosed cryptands</w:t>
      </w:r>
    </w:p>
    <w:p w14:paraId="646AEC51" w14:textId="304BEC7A" w:rsidR="00943B04" w:rsidRDefault="00B25BB5">
      <w:pPr>
        <w:pStyle w:val="Nagwek2"/>
      </w:pPr>
      <w:r>
        <w:t>K. Dąbrowa</w:t>
      </w:r>
      <w:r>
        <w:rPr>
          <w:vertAlign w:val="superscript"/>
        </w:rPr>
        <w:t>1</w:t>
      </w:r>
      <w:r>
        <w:t>, M. Ceborska</w:t>
      </w:r>
      <w:r>
        <w:rPr>
          <w:vertAlign w:val="superscript"/>
        </w:rPr>
        <w:t>2</w:t>
      </w:r>
    </w:p>
    <w:p w14:paraId="1DABAABA" w14:textId="1F196C7B" w:rsidR="002D497A" w:rsidRPr="002B36F1" w:rsidRDefault="00000000" w:rsidP="002D497A">
      <w:pPr>
        <w:pStyle w:val="Authors"/>
        <w:adjustRightInd w:val="0"/>
        <w:snapToGrid w:val="0"/>
        <w:rPr>
          <w:sz w:val="18"/>
          <w:szCs w:val="18"/>
        </w:rPr>
      </w:pPr>
      <w:r w:rsidRPr="002D497A">
        <w:rPr>
          <w:i/>
          <w:iCs/>
          <w:sz w:val="20"/>
          <w:szCs w:val="20"/>
          <w:vertAlign w:val="superscript"/>
        </w:rPr>
        <w:t>1</w:t>
      </w:r>
      <w:r w:rsidR="002D497A">
        <w:rPr>
          <w:rStyle w:val="AuthorsafiiliationChar"/>
          <w:sz w:val="18"/>
          <w:szCs w:val="18"/>
        </w:rPr>
        <w:t>Institute of Organic Chemistry, Polish Academy of Sciences,Kasprzaka 44/52, 01-224 Warsaw, Poland</w:t>
      </w:r>
    </w:p>
    <w:p w14:paraId="59596E78" w14:textId="58522E63" w:rsidR="002D497A" w:rsidRPr="002B36F1" w:rsidRDefault="002D497A" w:rsidP="002D497A">
      <w:pPr>
        <w:pStyle w:val="Authors"/>
        <w:adjustRightInd w:val="0"/>
        <w:snapToGrid w:val="0"/>
        <w:rPr>
          <w:sz w:val="18"/>
          <w:szCs w:val="18"/>
        </w:rPr>
      </w:pPr>
      <w:r w:rsidRPr="002D497A">
        <w:rPr>
          <w:i/>
          <w:iCs/>
          <w:sz w:val="20"/>
          <w:szCs w:val="20"/>
          <w:vertAlign w:val="superscript"/>
        </w:rPr>
        <w:t>2</w:t>
      </w:r>
      <w:r>
        <w:rPr>
          <w:rStyle w:val="AuthorsafiiliationChar"/>
          <w:sz w:val="18"/>
          <w:szCs w:val="18"/>
        </w:rPr>
        <w:t>Faculty of Mathematics and Natural Sciences, Cardinal Stefan Wyszyński University, Wóycickiego 1/3, 01-938 Warsaw, Poland</w:t>
      </w:r>
    </w:p>
    <w:p w14:paraId="0A4079D2" w14:textId="379C27C1" w:rsidR="00943B04" w:rsidRPr="002D497A" w:rsidRDefault="002D497A">
      <w:pPr>
        <w:pStyle w:val="Nagwek3"/>
        <w:rPr>
          <w:sz w:val="18"/>
          <w:szCs w:val="18"/>
          <w:lang w:val="hr-HR"/>
        </w:rPr>
      </w:pPr>
      <w:r w:rsidRPr="002D497A">
        <w:rPr>
          <w:lang w:val="hr-HR"/>
        </w:rPr>
        <w:t xml:space="preserve">m.ceborska@uksw.edu.pl </w:t>
      </w:r>
      <w:r w:rsidRPr="002D497A">
        <w:rPr>
          <w:lang w:val="hr-HR" w:eastAsia="de-DE"/>
        </w:rPr>
        <w:br/>
      </w:r>
    </w:p>
    <w:p w14:paraId="1302AE8E" w14:textId="77777777" w:rsidR="00FE1C75" w:rsidRDefault="002B1F90" w:rsidP="008962FF">
      <w:pPr>
        <w:rPr>
          <w:lang w:val="en-US"/>
        </w:rPr>
      </w:pPr>
      <w:r>
        <w:t>Unclosed cryptands (UCs) are macrocyclic compounds</w:t>
      </w:r>
      <w:r w:rsidR="008962FF">
        <w:t>, possessing at least three amidic groups</w:t>
      </w:r>
      <w:r w:rsidR="00C301C7">
        <w:t xml:space="preserve"> connected by alkyl linkers with macroring </w:t>
      </w:r>
      <w:r w:rsidR="009A2AF0" w:rsidRPr="009A2AF0">
        <w:t xml:space="preserve">functionalized </w:t>
      </w:r>
      <w:r>
        <w:t xml:space="preserve">with </w:t>
      </w:r>
      <w:r w:rsidR="009A2AF0" w:rsidRPr="009A2AF0">
        <w:t xml:space="preserve">substituent (lariat arm) </w:t>
      </w:r>
      <w:r>
        <w:t>placed</w:t>
      </w:r>
      <w:r w:rsidR="009A2AF0" w:rsidRPr="009A2AF0">
        <w:t xml:space="preserve"> at the intraannular position of the macr</w:t>
      </w:r>
      <w:r>
        <w:t>ocycle</w:t>
      </w:r>
      <w:r w:rsidR="00076D10">
        <w:t>. The structural flexibility</w:t>
      </w:r>
      <w:r w:rsidR="005258EB">
        <w:t xml:space="preserve"> of UCs </w:t>
      </w:r>
      <w:r w:rsidR="00076D10">
        <w:t>enables</w:t>
      </w:r>
      <w:r>
        <w:t xml:space="preserve"> </w:t>
      </w:r>
      <w:r w:rsidR="005258EB">
        <w:t>them to selectively</w:t>
      </w:r>
      <w:r w:rsidR="009A2AF0" w:rsidRPr="009A2AF0">
        <w:t xml:space="preserve"> bind</w:t>
      </w:r>
      <w:r w:rsidR="0084709A">
        <w:t xml:space="preserve"> </w:t>
      </w:r>
      <w:r w:rsidR="005258EB">
        <w:t>particularly demanding guests</w:t>
      </w:r>
      <w:r w:rsidR="009A2AF0" w:rsidRPr="009A2AF0">
        <w:t xml:space="preserve">, </w:t>
      </w:r>
      <w:r w:rsidR="005258EB">
        <w:t>especially anions</w:t>
      </w:r>
      <w:r w:rsidR="00DA4955">
        <w:t xml:space="preserve"> [1,2]</w:t>
      </w:r>
      <w:r w:rsidR="0084709A">
        <w:t>. However their application is much broader, e</w:t>
      </w:r>
      <w:r w:rsidR="00DA4955">
        <w:t>.</w:t>
      </w:r>
      <w:r w:rsidR="0084709A">
        <w:t xml:space="preserve">g. </w:t>
      </w:r>
      <w:r w:rsidR="00DA4955">
        <w:t xml:space="preserve">they may act </w:t>
      </w:r>
      <w:r w:rsidR="0084709A">
        <w:t xml:space="preserve">as </w:t>
      </w:r>
      <w:r w:rsidR="00DA4955">
        <w:t>phase transfer catalysts [3]</w:t>
      </w:r>
      <w:r w:rsidR="004F0536">
        <w:t>.</w:t>
      </w:r>
      <w:r w:rsidR="00DA4955">
        <w:t xml:space="preserve"> It has been observed</w:t>
      </w:r>
      <w:r w:rsidR="006E0454">
        <w:t>,</w:t>
      </w:r>
      <w:r w:rsidR="00DA4955">
        <w:t xml:space="preserve"> that </w:t>
      </w:r>
      <w:r w:rsidR="00ED0C05">
        <w:t xml:space="preserve">smaller </w:t>
      </w:r>
      <w:r w:rsidR="0084709A" w:rsidRPr="0084709A">
        <w:t xml:space="preserve">UCs </w:t>
      </w:r>
      <w:r w:rsidR="00ED0C05">
        <w:t>(</w:t>
      </w:r>
      <w:r w:rsidR="0084709A">
        <w:t xml:space="preserve">with </w:t>
      </w:r>
      <w:r w:rsidR="006E0454">
        <w:t>&lt; 24-membered</w:t>
      </w:r>
      <w:r w:rsidR="0084709A" w:rsidRPr="0084709A">
        <w:t xml:space="preserve"> ring</w:t>
      </w:r>
      <w:r w:rsidR="00ED0C05">
        <w:t xml:space="preserve">) </w:t>
      </w:r>
      <w:r w:rsidR="0084709A" w:rsidRPr="0084709A">
        <w:t>crystallize as monohydrates</w:t>
      </w:r>
      <w:r w:rsidR="006E0454">
        <w:t>,</w:t>
      </w:r>
      <w:r w:rsidR="0084709A" w:rsidRPr="0084709A">
        <w:t xml:space="preserve"> without any clustered water</w:t>
      </w:r>
      <w:r w:rsidR="00DA4955">
        <w:t xml:space="preserve">, </w:t>
      </w:r>
      <w:r w:rsidR="006E0454">
        <w:t>whereas</w:t>
      </w:r>
      <w:r w:rsidR="00DA4955">
        <w:t xml:space="preserve"> </w:t>
      </w:r>
      <w:r w:rsidR="006E0454">
        <w:t>larger UCs tend to stabilise various forms of structured water</w:t>
      </w:r>
      <w:r w:rsidR="002B7B58">
        <w:t>.</w:t>
      </w:r>
      <w:r w:rsidR="00F66CB9">
        <w:t xml:space="preserve"> 26-membered UC, incorporating substituted phenyl ring in the lariat arm</w:t>
      </w:r>
      <w:r w:rsidR="00063F0C">
        <w:t xml:space="preserve"> may</w:t>
      </w:r>
      <w:r w:rsidR="00F66CB9">
        <w:t xml:space="preserve"> stabilise </w:t>
      </w:r>
      <w:r w:rsidR="00F66CB9" w:rsidRPr="00267F76">
        <w:rPr>
          <w:lang w:val="en-US"/>
        </w:rPr>
        <w:t>octameric</w:t>
      </w:r>
      <w:r w:rsidR="00F66CB9">
        <w:rPr>
          <w:lang w:val="en-US"/>
        </w:rPr>
        <w:t xml:space="preserve"> </w:t>
      </w:r>
      <w:r w:rsidR="00F66CB9" w:rsidRPr="00267F76">
        <w:rPr>
          <w:lang w:val="en-US"/>
        </w:rPr>
        <w:t xml:space="preserve">water cluster </w:t>
      </w:r>
      <w:r w:rsidR="00F66CB9">
        <w:rPr>
          <w:lang w:val="en-US"/>
        </w:rPr>
        <w:t>built from</w:t>
      </w:r>
      <w:r w:rsidR="00F66CB9" w:rsidRPr="00DD0F8D">
        <w:rPr>
          <w:lang w:val="en-US"/>
        </w:rPr>
        <w:t xml:space="preserve"> a cyclic tetramer and four water molecules </w:t>
      </w:r>
      <w:r w:rsidR="00F66CB9">
        <w:rPr>
          <w:lang w:val="en-US"/>
        </w:rPr>
        <w:t>placed at</w:t>
      </w:r>
      <w:r w:rsidR="00F66CB9" w:rsidRPr="00DD0F8D">
        <w:rPr>
          <w:lang w:val="en-US"/>
        </w:rPr>
        <w:t xml:space="preserve"> each corner of the tetramer</w:t>
      </w:r>
      <w:r w:rsidR="00F66CB9">
        <w:rPr>
          <w:lang w:val="en-US"/>
        </w:rPr>
        <w:t xml:space="preserve"> [4]. We proved</w:t>
      </w:r>
      <w:r w:rsidR="00FE1C75">
        <w:rPr>
          <w:lang w:val="en-US"/>
        </w:rPr>
        <w:t>,</w:t>
      </w:r>
      <w:r w:rsidR="00F66CB9">
        <w:rPr>
          <w:lang w:val="en-US"/>
        </w:rPr>
        <w:t xml:space="preserve"> that such water assembly is stabilized by </w:t>
      </w:r>
      <w:r w:rsidR="00F66CB9">
        <w:t xml:space="preserve">26-membered </w:t>
      </w:r>
      <w:r w:rsidR="00F66CB9">
        <w:rPr>
          <w:lang w:val="en-US"/>
        </w:rPr>
        <w:t xml:space="preserve">UCs end-capped with </w:t>
      </w:r>
      <w:r w:rsidR="00F66CB9" w:rsidRPr="00F66CB9">
        <w:rPr>
          <w:i/>
          <w:iCs/>
          <w:lang w:val="en-US"/>
        </w:rPr>
        <w:t>p</w:t>
      </w:r>
      <w:r w:rsidR="00F66CB9">
        <w:rPr>
          <w:lang w:val="en-US"/>
        </w:rPr>
        <w:t xml:space="preserve">-nitrophenyl or </w:t>
      </w:r>
      <w:r w:rsidR="00F66CB9" w:rsidRPr="00F66CB9">
        <w:rPr>
          <w:i/>
          <w:iCs/>
          <w:lang w:val="en-US"/>
        </w:rPr>
        <w:t>p</w:t>
      </w:r>
      <w:r w:rsidR="00F66CB9">
        <w:rPr>
          <w:lang w:val="en-US"/>
        </w:rPr>
        <w:t>-methoxyphenyl</w:t>
      </w:r>
      <w:r w:rsidR="00F66CB9" w:rsidRPr="00267F76">
        <w:rPr>
          <w:lang w:val="en-US"/>
        </w:rPr>
        <w:t xml:space="preserve"> </w:t>
      </w:r>
      <w:r w:rsidR="00F66CB9">
        <w:rPr>
          <w:lang w:val="en-US"/>
        </w:rPr>
        <w:t xml:space="preserve">groups. </w:t>
      </w:r>
      <w:r w:rsidR="00767F31">
        <w:rPr>
          <w:lang w:val="en-US"/>
        </w:rPr>
        <w:t>On the other hand</w:t>
      </w:r>
      <w:r w:rsidR="00F77521">
        <w:rPr>
          <w:lang w:val="en-US"/>
        </w:rPr>
        <w:t>,</w:t>
      </w:r>
      <w:r w:rsidR="00F66CB9">
        <w:rPr>
          <w:lang w:val="en-US"/>
        </w:rPr>
        <w:t xml:space="preserve"> </w:t>
      </w:r>
      <w:r w:rsidR="00767F31">
        <w:t xml:space="preserve">26-membered </w:t>
      </w:r>
      <w:r w:rsidR="00767F31">
        <w:rPr>
          <w:lang w:val="en-US"/>
        </w:rPr>
        <w:t>UC</w:t>
      </w:r>
      <w:r w:rsidR="00F77521">
        <w:rPr>
          <w:lang w:val="en-US"/>
        </w:rPr>
        <w:t>,</w:t>
      </w:r>
      <w:r w:rsidR="00767F31">
        <w:rPr>
          <w:lang w:val="en-US"/>
        </w:rPr>
        <w:t xml:space="preserve"> end-capped with</w:t>
      </w:r>
      <w:r w:rsidR="00F66CB9" w:rsidRPr="00DD0F8D">
        <w:rPr>
          <w:lang w:val="en-US"/>
        </w:rPr>
        <w:t xml:space="preserve"> unsubstituted phenyl </w:t>
      </w:r>
      <w:r w:rsidR="00FE1C75">
        <w:rPr>
          <w:lang w:val="en-US"/>
        </w:rPr>
        <w:t>moiety</w:t>
      </w:r>
      <w:r w:rsidR="00F77521">
        <w:rPr>
          <w:lang w:val="en-US"/>
        </w:rPr>
        <w:t>,</w:t>
      </w:r>
      <w:r w:rsidR="00F66CB9" w:rsidRPr="00DD0F8D">
        <w:rPr>
          <w:lang w:val="en-US"/>
        </w:rPr>
        <w:t xml:space="preserve"> </w:t>
      </w:r>
      <w:r w:rsidR="00F66CB9">
        <w:rPr>
          <w:lang w:val="en-US"/>
        </w:rPr>
        <w:t>stabilize</w:t>
      </w:r>
      <w:r w:rsidR="007C0560">
        <w:rPr>
          <w:lang w:val="en-US"/>
        </w:rPr>
        <w:t>s</w:t>
      </w:r>
      <w:r w:rsidR="00F66CB9" w:rsidRPr="00DD0F8D">
        <w:rPr>
          <w:lang w:val="en-US"/>
        </w:rPr>
        <w:t xml:space="preserve"> </w:t>
      </w:r>
      <w:r w:rsidR="00F66CB9">
        <w:rPr>
          <w:lang w:val="en-US"/>
        </w:rPr>
        <w:t>w</w:t>
      </w:r>
      <w:r w:rsidR="00F66CB9" w:rsidRPr="00DD0F8D">
        <w:rPr>
          <w:lang w:val="en-US"/>
        </w:rPr>
        <w:t>ater chain</w:t>
      </w:r>
      <w:r w:rsidR="00F66CB9">
        <w:rPr>
          <w:lang w:val="en-US"/>
        </w:rPr>
        <w:t>s</w:t>
      </w:r>
      <w:r w:rsidR="00F66CB9" w:rsidRPr="00DD0F8D">
        <w:rPr>
          <w:lang w:val="en-US"/>
        </w:rPr>
        <w:t xml:space="preserve"> </w:t>
      </w:r>
      <w:r w:rsidR="00F66CB9">
        <w:rPr>
          <w:lang w:val="en-US"/>
        </w:rPr>
        <w:t>of different length</w:t>
      </w:r>
      <w:r w:rsidR="00F77521">
        <w:rPr>
          <w:lang w:val="en-US"/>
        </w:rPr>
        <w:t>s</w:t>
      </w:r>
      <w:r w:rsidR="00187F7F">
        <w:rPr>
          <w:lang w:val="en-US"/>
        </w:rPr>
        <w:t xml:space="preserve"> [5]</w:t>
      </w:r>
      <w:r w:rsidR="00767F31">
        <w:rPr>
          <w:lang w:val="en-US"/>
        </w:rPr>
        <w:t>.</w:t>
      </w:r>
      <w:r w:rsidR="0097071E">
        <w:rPr>
          <w:lang w:val="en-US"/>
        </w:rPr>
        <w:t xml:space="preserve"> </w:t>
      </w:r>
    </w:p>
    <w:p w14:paraId="24A270E8" w14:textId="69D5EF25" w:rsidR="00943B04" w:rsidRDefault="0097071E" w:rsidP="008962FF">
      <w:r>
        <w:rPr>
          <w:lang w:val="en-US"/>
        </w:rPr>
        <w:t xml:space="preserve">Lately, we turned our attention to </w:t>
      </w:r>
      <w:r w:rsidR="00364470">
        <w:rPr>
          <w:lang w:val="en-US"/>
        </w:rPr>
        <w:t xml:space="preserve">more sophisticated </w:t>
      </w:r>
      <w:r w:rsidR="00063F0C">
        <w:rPr>
          <w:lang w:val="en-US"/>
        </w:rPr>
        <w:t xml:space="preserve">systems, </w:t>
      </w:r>
      <w:r w:rsidR="00B40A2C">
        <w:t>a</w:t>
      </w:r>
      <w:r w:rsidR="00B40A2C" w:rsidRPr="00B40A2C">
        <w:t xml:space="preserve"> sterically crowded light-responsive</w:t>
      </w:r>
      <w:r w:rsidR="00B40A2C">
        <w:t xml:space="preserve"> pincer-type macrocyclic receptors, which may be considered as unclosed cryptands dimers</w:t>
      </w:r>
      <w:r w:rsidR="00063F0C">
        <w:t>, where t</w:t>
      </w:r>
      <w:r w:rsidR="00F77521">
        <w:t>he</w:t>
      </w:r>
      <w:r w:rsidR="00063F0C">
        <w:t xml:space="preserve"> two parts</w:t>
      </w:r>
      <w:r w:rsidR="00F77521">
        <w:t xml:space="preserve"> of the receptor</w:t>
      </w:r>
      <w:r w:rsidR="00063F0C">
        <w:t xml:space="preserve"> are connected by </w:t>
      </w:r>
      <w:r w:rsidR="00AD2EBC">
        <w:t>the</w:t>
      </w:r>
      <w:r w:rsidR="00063F0C">
        <w:t xml:space="preserve"> substituted azobenzene unit. </w:t>
      </w:r>
      <w:r w:rsidR="004A2E87">
        <w:t>Such macrocycles are excellent selective receptors for biologically relevant anions</w:t>
      </w:r>
      <w:r w:rsidR="00FE1C75">
        <w:t>, e.g.</w:t>
      </w:r>
      <w:r w:rsidR="00A541F6">
        <w:t xml:space="preserve"> pincer-type receptor built from two 26-membered macrorings connected by azobenzene-derived linker</w:t>
      </w:r>
      <w:r w:rsidR="00FE1C75">
        <w:t xml:space="preserve"> exhibited high selectivity for </w:t>
      </w:r>
      <w:r w:rsidR="00FE1C75" w:rsidRPr="00FE1C75">
        <w:t xml:space="preserve">dihydrogenphosphate over other </w:t>
      </w:r>
      <w:r w:rsidR="00AB2235">
        <w:t xml:space="preserve">organic </w:t>
      </w:r>
      <w:r w:rsidR="00A541F6">
        <w:t xml:space="preserve">and inorganic </w:t>
      </w:r>
      <w:r w:rsidR="00FE1C75" w:rsidRPr="00FE1C75">
        <w:t>anions (</w:t>
      </w:r>
      <w:r w:rsidR="00FE1C75">
        <w:t>acetate, benzoate</w:t>
      </w:r>
      <w:r w:rsidR="00A541F6">
        <w:t xml:space="preserve">, or chloride) </w:t>
      </w:r>
      <w:r w:rsidR="00FE1C75">
        <w:t>[6].</w:t>
      </w:r>
      <w:r w:rsidR="0084067C">
        <w:t xml:space="preserve"> </w:t>
      </w:r>
      <w:r w:rsidR="00AE3802">
        <w:t xml:space="preserve">Similarly to simple unclosed cryptands, these pincer-type receptors are also able to stabilise various water structures – from simple water dimers to very sophisticated water tapes. </w:t>
      </w:r>
      <w:r w:rsidR="000B2A97">
        <w:t xml:space="preserve">Figure 1 presents </w:t>
      </w:r>
      <w:r w:rsidR="009B5710">
        <w:t xml:space="preserve">some examples of </w:t>
      </w:r>
      <w:r w:rsidR="000B2A97">
        <w:t>water associates stabilised by unclosed cryptands and their pincer-type derivatives.</w:t>
      </w:r>
    </w:p>
    <w:p w14:paraId="43C6FAA1" w14:textId="77777777" w:rsidR="008D5E22" w:rsidRDefault="008D5E22" w:rsidP="008962FF"/>
    <w:p w14:paraId="1AE04820" w14:textId="643DCC72" w:rsidR="008D5E22" w:rsidRDefault="008D5E22" w:rsidP="008D5E22">
      <w:pPr>
        <w:jc w:val="center"/>
      </w:pPr>
      <w:r>
        <w:rPr>
          <w:noProof/>
        </w:rPr>
        <w:drawing>
          <wp:inline distT="0" distB="0" distL="0" distR="0" wp14:anchorId="55C227B5" wp14:editId="4CA07D9A">
            <wp:extent cx="4221546" cy="1875698"/>
            <wp:effectExtent l="0" t="0" r="7620" b="0"/>
            <wp:docPr id="16404567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82" cy="18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558D2" w14:textId="77777777" w:rsidR="00A845B7" w:rsidRDefault="00A845B7" w:rsidP="008962FF"/>
    <w:p w14:paraId="49BBD316" w14:textId="63AB299E" w:rsidR="00943B04" w:rsidRDefault="004F3394" w:rsidP="001866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04C98" wp14:editId="13A7FC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093684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E961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b/>
        </w:rPr>
        <w:t>Figure 1</w:t>
      </w:r>
      <w:r w:rsidR="00000000">
        <w:t xml:space="preserve">. </w:t>
      </w:r>
      <w:r w:rsidR="0018664A">
        <w:t>Selected water associates (a) water octamer (b)</w:t>
      </w:r>
      <w:r w:rsidR="00A845B7" w:rsidRPr="00A845B7">
        <w:t xml:space="preserve"> </w:t>
      </w:r>
      <w:r w:rsidR="00A845B7">
        <w:t>fragment of water tape</w:t>
      </w:r>
    </w:p>
    <w:p w14:paraId="459DC078" w14:textId="77777777" w:rsidR="00943B04" w:rsidRDefault="00943B04">
      <w:pPr>
        <w:rPr>
          <w:lang w:eastAsia="cs-CZ"/>
        </w:rPr>
      </w:pPr>
    </w:p>
    <w:p w14:paraId="687D4190" w14:textId="6076FF2A" w:rsidR="00943B04" w:rsidRPr="00D60E24" w:rsidRDefault="00000000">
      <w:pPr>
        <w:pStyle w:val="Nagwek4"/>
        <w:rPr>
          <w:szCs w:val="18"/>
          <w:lang w:val="pl-PL"/>
        </w:rPr>
      </w:pPr>
      <w:r w:rsidRPr="006C47BB">
        <w:rPr>
          <w:lang w:val="pl-PL"/>
        </w:rPr>
        <w:t>[1</w:t>
      </w:r>
      <w:r w:rsidRPr="00D60E24">
        <w:rPr>
          <w:szCs w:val="18"/>
          <w:lang w:val="pl-PL"/>
        </w:rPr>
        <w:t xml:space="preserve">] </w:t>
      </w:r>
      <w:r w:rsidR="006C47BB" w:rsidRPr="00D60E24">
        <w:rPr>
          <w:szCs w:val="18"/>
          <w:lang w:val="pl-PL"/>
        </w:rPr>
        <w:t xml:space="preserve">Dąbrowa, K., Pawlak, M., Duszewski, P., Jurczak, J. </w:t>
      </w:r>
      <w:r w:rsidRPr="00D60E24">
        <w:rPr>
          <w:szCs w:val="18"/>
          <w:lang w:val="pl-PL"/>
        </w:rPr>
        <w:t>(</w:t>
      </w:r>
      <w:r w:rsidR="006C47BB" w:rsidRPr="00D60E24">
        <w:rPr>
          <w:szCs w:val="18"/>
          <w:lang w:val="pl-PL"/>
        </w:rPr>
        <w:t>2012</w:t>
      </w:r>
      <w:r w:rsidRPr="00D60E24">
        <w:rPr>
          <w:szCs w:val="18"/>
          <w:lang w:val="pl-PL"/>
        </w:rPr>
        <w:t xml:space="preserve">) </w:t>
      </w:r>
      <w:r w:rsidR="006C47BB" w:rsidRPr="00D60E24">
        <w:rPr>
          <w:i/>
          <w:szCs w:val="18"/>
          <w:lang w:val="pl-PL"/>
        </w:rPr>
        <w:t>Org</w:t>
      </w:r>
      <w:r w:rsidRPr="00D60E24">
        <w:rPr>
          <w:i/>
          <w:szCs w:val="18"/>
          <w:lang w:val="pl-PL"/>
        </w:rPr>
        <w:t>.</w:t>
      </w:r>
      <w:r w:rsidRPr="00D60E24">
        <w:rPr>
          <w:szCs w:val="18"/>
          <w:lang w:val="pl-PL"/>
        </w:rPr>
        <w:t xml:space="preserve"> </w:t>
      </w:r>
      <w:r w:rsidR="006C47BB" w:rsidRPr="00D60E24">
        <w:rPr>
          <w:i/>
          <w:iCs/>
          <w:szCs w:val="18"/>
          <w:lang w:val="pl-PL"/>
        </w:rPr>
        <w:t>Lett</w:t>
      </w:r>
      <w:r w:rsidR="006C47BB" w:rsidRPr="00D60E24">
        <w:rPr>
          <w:szCs w:val="18"/>
          <w:lang w:val="pl-PL"/>
        </w:rPr>
        <w:t xml:space="preserve">., </w:t>
      </w:r>
      <w:r w:rsidR="006C47BB" w:rsidRPr="00D60E24">
        <w:rPr>
          <w:b/>
          <w:bCs w:val="0"/>
          <w:szCs w:val="18"/>
          <w:lang w:val="pl-PL"/>
        </w:rPr>
        <w:t>14</w:t>
      </w:r>
      <w:r w:rsidRPr="00D60E24">
        <w:rPr>
          <w:szCs w:val="18"/>
          <w:lang w:val="pl-PL"/>
        </w:rPr>
        <w:t xml:space="preserve">, </w:t>
      </w:r>
      <w:r w:rsidR="00E1451E" w:rsidRPr="00D60E24">
        <w:rPr>
          <w:szCs w:val="18"/>
          <w:lang w:val="pl-PL"/>
        </w:rPr>
        <w:t>6298</w:t>
      </w:r>
      <w:r w:rsidRPr="00D60E24">
        <w:rPr>
          <w:szCs w:val="18"/>
          <w:lang w:val="pl-PL"/>
        </w:rPr>
        <w:t>.</w:t>
      </w:r>
    </w:p>
    <w:p w14:paraId="0550E8D0" w14:textId="2A4CD337" w:rsidR="00A16ED7" w:rsidRPr="00CF6E7F" w:rsidRDefault="00A16ED7" w:rsidP="00A16ED7">
      <w:pPr>
        <w:rPr>
          <w:sz w:val="18"/>
          <w:szCs w:val="18"/>
          <w:lang w:val="pl-PL" w:eastAsia="cs-CZ"/>
        </w:rPr>
      </w:pPr>
      <w:r w:rsidRPr="00D60E24">
        <w:rPr>
          <w:sz w:val="18"/>
          <w:szCs w:val="18"/>
          <w:lang w:val="pl-PL" w:eastAsia="cs-CZ"/>
        </w:rPr>
        <w:t xml:space="preserve">[2] </w:t>
      </w:r>
      <w:r w:rsidR="00807229">
        <w:rPr>
          <w:sz w:val="18"/>
          <w:szCs w:val="18"/>
          <w:lang w:val="pl-PL" w:eastAsia="cs-CZ"/>
        </w:rPr>
        <w:t xml:space="preserve">Niedbała, P., Majdecki, M., </w:t>
      </w:r>
      <w:r w:rsidR="00BA3F68">
        <w:rPr>
          <w:sz w:val="18"/>
          <w:szCs w:val="18"/>
          <w:lang w:val="pl-PL" w:eastAsia="cs-CZ"/>
        </w:rPr>
        <w:t xml:space="preserve">Dąbrowa, K., Jurczak, J. </w:t>
      </w:r>
      <w:r w:rsidR="00B60DAD">
        <w:rPr>
          <w:sz w:val="18"/>
          <w:szCs w:val="18"/>
          <w:lang w:val="pl-PL" w:eastAsia="cs-CZ"/>
        </w:rPr>
        <w:t xml:space="preserve">(2020) </w:t>
      </w:r>
      <w:r w:rsidR="00B60DAD" w:rsidRPr="00B60DAD">
        <w:rPr>
          <w:i/>
          <w:iCs/>
          <w:sz w:val="18"/>
          <w:szCs w:val="18"/>
          <w:lang w:val="pl-PL" w:eastAsia="cs-CZ"/>
        </w:rPr>
        <w:t>J. Org. Chem.</w:t>
      </w:r>
      <w:r w:rsidR="00CF6E7F" w:rsidRPr="00CF6E7F">
        <w:rPr>
          <w:b/>
          <w:bCs/>
          <w:sz w:val="18"/>
          <w:szCs w:val="18"/>
          <w:lang w:val="pl-PL" w:eastAsia="cs-CZ"/>
        </w:rPr>
        <w:t>85</w:t>
      </w:r>
      <w:r w:rsidR="00CF6E7F">
        <w:rPr>
          <w:sz w:val="18"/>
          <w:szCs w:val="18"/>
          <w:lang w:val="pl-PL" w:eastAsia="cs-CZ"/>
        </w:rPr>
        <w:t xml:space="preserve">, </w:t>
      </w:r>
      <w:r w:rsidR="00CF6E7F" w:rsidRPr="00AE3802">
        <w:rPr>
          <w:sz w:val="18"/>
          <w:szCs w:val="18"/>
          <w:lang w:val="pl-PL" w:eastAsia="cs-CZ"/>
        </w:rPr>
        <w:t>5058.</w:t>
      </w:r>
    </w:p>
    <w:p w14:paraId="0B3440AF" w14:textId="1957D7AA" w:rsidR="00A16ED7" w:rsidRPr="00D60E24" w:rsidRDefault="00A16ED7" w:rsidP="00A16ED7">
      <w:pPr>
        <w:rPr>
          <w:sz w:val="18"/>
          <w:szCs w:val="18"/>
          <w:lang w:val="pl-PL" w:eastAsia="cs-CZ"/>
        </w:rPr>
      </w:pPr>
      <w:r w:rsidRPr="00D60E24">
        <w:rPr>
          <w:sz w:val="18"/>
          <w:szCs w:val="18"/>
          <w:lang w:val="pl-PL" w:eastAsia="cs-CZ"/>
        </w:rPr>
        <w:t>[3]</w:t>
      </w:r>
      <w:r w:rsidR="00D60E24" w:rsidRPr="00D60E24">
        <w:rPr>
          <w:sz w:val="18"/>
          <w:szCs w:val="18"/>
          <w:lang w:val="pl-PL" w:eastAsia="cs-CZ"/>
        </w:rPr>
        <w:t xml:space="preserve"> Tyszka-Gumkowska, A.; Jurczak., J</w:t>
      </w:r>
      <w:r w:rsidR="00D60E24">
        <w:rPr>
          <w:sz w:val="18"/>
          <w:szCs w:val="18"/>
          <w:lang w:val="pl-PL" w:eastAsia="cs-CZ"/>
        </w:rPr>
        <w:t xml:space="preserve">. (2020) </w:t>
      </w:r>
      <w:r w:rsidR="00D60E24" w:rsidRPr="00B60DAD">
        <w:rPr>
          <w:i/>
          <w:iCs/>
          <w:sz w:val="18"/>
          <w:szCs w:val="18"/>
          <w:lang w:val="pl-PL" w:eastAsia="cs-CZ"/>
        </w:rPr>
        <w:t>J.</w:t>
      </w:r>
      <w:r w:rsidR="00D60E24" w:rsidRPr="00D60E24">
        <w:rPr>
          <w:i/>
          <w:iCs/>
          <w:sz w:val="18"/>
          <w:szCs w:val="18"/>
          <w:lang w:val="pl-PL" w:eastAsia="cs-CZ"/>
        </w:rPr>
        <w:t xml:space="preserve"> Org. Chem</w:t>
      </w:r>
      <w:r w:rsidR="00D60E24">
        <w:rPr>
          <w:sz w:val="18"/>
          <w:szCs w:val="18"/>
          <w:lang w:val="pl-PL" w:eastAsia="cs-CZ"/>
        </w:rPr>
        <w:t>.,</w:t>
      </w:r>
      <w:r w:rsidR="00217332">
        <w:rPr>
          <w:sz w:val="18"/>
          <w:szCs w:val="18"/>
          <w:lang w:val="pl-PL" w:eastAsia="cs-CZ"/>
        </w:rPr>
        <w:t xml:space="preserve"> </w:t>
      </w:r>
      <w:r w:rsidR="00D60E24" w:rsidRPr="00D60E24">
        <w:rPr>
          <w:b/>
          <w:bCs/>
          <w:sz w:val="18"/>
          <w:szCs w:val="18"/>
          <w:lang w:val="pl-PL" w:eastAsia="cs-CZ"/>
        </w:rPr>
        <w:t>85</w:t>
      </w:r>
      <w:r w:rsidR="00D60E24">
        <w:rPr>
          <w:sz w:val="18"/>
          <w:szCs w:val="18"/>
          <w:lang w:val="pl-PL" w:eastAsia="cs-CZ"/>
        </w:rPr>
        <w:t xml:space="preserve">, </w:t>
      </w:r>
      <w:r w:rsidR="00B41DE4">
        <w:rPr>
          <w:sz w:val="18"/>
          <w:szCs w:val="18"/>
          <w:lang w:val="pl-PL" w:eastAsia="cs-CZ"/>
        </w:rPr>
        <w:t>1308.</w:t>
      </w:r>
    </w:p>
    <w:p w14:paraId="5B165F2C" w14:textId="0690305F" w:rsidR="00803305" w:rsidRPr="00D60E24" w:rsidRDefault="00000000" w:rsidP="00803305">
      <w:pPr>
        <w:pStyle w:val="Tekstpodstawowy2"/>
        <w:tabs>
          <w:tab w:val="left" w:pos="360"/>
        </w:tabs>
        <w:spacing w:line="240" w:lineRule="auto"/>
        <w:ind w:left="357" w:hanging="357"/>
        <w:rPr>
          <w:sz w:val="18"/>
          <w:szCs w:val="18"/>
          <w:lang w:val="pl-PL"/>
        </w:rPr>
      </w:pPr>
      <w:r w:rsidRPr="00D60E24">
        <w:rPr>
          <w:sz w:val="18"/>
          <w:szCs w:val="18"/>
          <w:lang w:val="pl-PL"/>
        </w:rPr>
        <w:t>[</w:t>
      </w:r>
      <w:r w:rsidR="00A16ED7" w:rsidRPr="00D60E24">
        <w:rPr>
          <w:sz w:val="18"/>
          <w:szCs w:val="18"/>
          <w:lang w:val="pl-PL"/>
        </w:rPr>
        <w:t>4</w:t>
      </w:r>
      <w:r w:rsidRPr="00D60E24">
        <w:rPr>
          <w:sz w:val="18"/>
          <w:szCs w:val="18"/>
          <w:lang w:val="pl-PL"/>
        </w:rPr>
        <w:t xml:space="preserve">] </w:t>
      </w:r>
      <w:r w:rsidR="00803305" w:rsidRPr="00D60E24">
        <w:rPr>
          <w:sz w:val="18"/>
          <w:szCs w:val="18"/>
          <w:lang w:val="pl-PL"/>
        </w:rPr>
        <w:t xml:space="preserve">Dąbrowa, </w:t>
      </w:r>
      <w:r w:rsidR="00C50B8E" w:rsidRPr="00D60E24">
        <w:rPr>
          <w:sz w:val="18"/>
          <w:szCs w:val="18"/>
          <w:lang w:val="pl-PL"/>
        </w:rPr>
        <w:t xml:space="preserve">K., </w:t>
      </w:r>
      <w:r w:rsidR="00803305" w:rsidRPr="00D60E24">
        <w:rPr>
          <w:sz w:val="18"/>
          <w:szCs w:val="18"/>
          <w:lang w:val="pl-PL"/>
        </w:rPr>
        <w:t xml:space="preserve">Ceborska, </w:t>
      </w:r>
      <w:r w:rsidR="00C50B8E" w:rsidRPr="00D60E24">
        <w:rPr>
          <w:sz w:val="18"/>
          <w:szCs w:val="18"/>
          <w:lang w:val="pl-PL"/>
        </w:rPr>
        <w:t xml:space="preserve">M., </w:t>
      </w:r>
      <w:r w:rsidR="00803305" w:rsidRPr="00D60E24">
        <w:rPr>
          <w:sz w:val="18"/>
          <w:szCs w:val="18"/>
          <w:lang w:val="pl-PL"/>
        </w:rPr>
        <w:t xml:space="preserve">Jurczak, </w:t>
      </w:r>
      <w:r w:rsidR="00C50B8E" w:rsidRPr="00D60E24">
        <w:rPr>
          <w:sz w:val="18"/>
          <w:szCs w:val="18"/>
          <w:lang w:val="pl-PL"/>
        </w:rPr>
        <w:t xml:space="preserve">J. (2014) </w:t>
      </w:r>
      <w:r w:rsidR="00803305" w:rsidRPr="00D60E24">
        <w:rPr>
          <w:i/>
          <w:iCs/>
          <w:sz w:val="18"/>
          <w:szCs w:val="18"/>
          <w:lang w:val="pl-PL"/>
        </w:rPr>
        <w:t>Cryst. Growth Des.</w:t>
      </w:r>
      <w:r w:rsidR="00803305" w:rsidRPr="00D60E24">
        <w:rPr>
          <w:sz w:val="18"/>
          <w:szCs w:val="18"/>
          <w:lang w:val="pl-PL"/>
        </w:rPr>
        <w:t xml:space="preserve">, </w:t>
      </w:r>
      <w:r w:rsidR="00C50B8E" w:rsidRPr="00D60E24">
        <w:rPr>
          <w:b/>
          <w:bCs/>
          <w:sz w:val="18"/>
          <w:szCs w:val="18"/>
          <w:lang w:val="pl-PL"/>
        </w:rPr>
        <w:t>14</w:t>
      </w:r>
      <w:r w:rsidR="00C50B8E" w:rsidRPr="00D60E24">
        <w:rPr>
          <w:sz w:val="18"/>
          <w:szCs w:val="18"/>
          <w:lang w:val="pl-PL"/>
        </w:rPr>
        <w:t xml:space="preserve">, </w:t>
      </w:r>
      <w:r w:rsidR="00803305" w:rsidRPr="00D60E24">
        <w:rPr>
          <w:sz w:val="18"/>
          <w:szCs w:val="18"/>
          <w:lang w:val="pl-PL"/>
        </w:rPr>
        <w:t>4906.</w:t>
      </w:r>
    </w:p>
    <w:p w14:paraId="044E0BD5" w14:textId="160D4CFB" w:rsidR="00803305" w:rsidRPr="00D60E24" w:rsidRDefault="00803305" w:rsidP="00803305">
      <w:pPr>
        <w:pStyle w:val="Tekstpodstawowy2"/>
        <w:tabs>
          <w:tab w:val="left" w:pos="360"/>
        </w:tabs>
        <w:spacing w:line="240" w:lineRule="auto"/>
        <w:ind w:left="357" w:hanging="357"/>
        <w:rPr>
          <w:sz w:val="18"/>
          <w:szCs w:val="18"/>
          <w:lang w:val="pl-PL"/>
        </w:rPr>
      </w:pPr>
      <w:r w:rsidRPr="00D60E24">
        <w:rPr>
          <w:sz w:val="18"/>
          <w:szCs w:val="18"/>
          <w:lang w:val="pl-PL"/>
        </w:rPr>
        <w:t>[</w:t>
      </w:r>
      <w:r w:rsidR="00A16ED7" w:rsidRPr="00D60E24">
        <w:rPr>
          <w:sz w:val="18"/>
          <w:szCs w:val="18"/>
          <w:lang w:val="pl-PL"/>
        </w:rPr>
        <w:t>5</w:t>
      </w:r>
      <w:r w:rsidRPr="00D60E24">
        <w:rPr>
          <w:sz w:val="18"/>
          <w:szCs w:val="18"/>
          <w:lang w:val="pl-PL"/>
        </w:rPr>
        <w:t>]</w:t>
      </w:r>
      <w:r w:rsidR="00CF6E7F">
        <w:rPr>
          <w:sz w:val="18"/>
          <w:szCs w:val="18"/>
          <w:lang w:val="pl-PL"/>
        </w:rPr>
        <w:t xml:space="preserve"> </w:t>
      </w:r>
      <w:r w:rsidRPr="00D60E24">
        <w:rPr>
          <w:sz w:val="18"/>
          <w:szCs w:val="18"/>
          <w:lang w:val="pl-PL"/>
        </w:rPr>
        <w:t xml:space="preserve">Dąbrowa, </w:t>
      </w:r>
      <w:r w:rsidR="002A069C" w:rsidRPr="00D60E24">
        <w:rPr>
          <w:sz w:val="18"/>
          <w:szCs w:val="18"/>
          <w:lang w:val="pl-PL"/>
        </w:rPr>
        <w:t xml:space="preserve">K., </w:t>
      </w:r>
      <w:r w:rsidRPr="00D60E24">
        <w:rPr>
          <w:sz w:val="18"/>
          <w:szCs w:val="18"/>
          <w:lang w:val="pl-PL"/>
        </w:rPr>
        <w:t xml:space="preserve">Ceborska, </w:t>
      </w:r>
      <w:r w:rsidR="002A069C" w:rsidRPr="00D60E24">
        <w:rPr>
          <w:sz w:val="18"/>
          <w:szCs w:val="18"/>
          <w:lang w:val="pl-PL"/>
        </w:rPr>
        <w:t xml:space="preserve">M., </w:t>
      </w:r>
      <w:r w:rsidRPr="00D60E24">
        <w:rPr>
          <w:sz w:val="18"/>
          <w:szCs w:val="18"/>
          <w:lang w:val="pl-PL"/>
        </w:rPr>
        <w:t xml:space="preserve">Jurczak, </w:t>
      </w:r>
      <w:r w:rsidR="002A069C" w:rsidRPr="00D60E24">
        <w:rPr>
          <w:sz w:val="18"/>
          <w:szCs w:val="18"/>
          <w:lang w:val="pl-PL"/>
        </w:rPr>
        <w:t xml:space="preserve">J. </w:t>
      </w:r>
      <w:r w:rsidR="00217332" w:rsidRPr="00D60E24">
        <w:rPr>
          <w:sz w:val="18"/>
          <w:szCs w:val="18"/>
          <w:lang w:val="pl-PL"/>
        </w:rPr>
        <w:t xml:space="preserve">(2018) </w:t>
      </w:r>
      <w:r w:rsidRPr="00D60E24">
        <w:rPr>
          <w:i/>
          <w:iCs/>
          <w:sz w:val="18"/>
          <w:szCs w:val="18"/>
          <w:lang w:val="pl-PL"/>
        </w:rPr>
        <w:t>Supramol. Chem.</w:t>
      </w:r>
      <w:r w:rsidRPr="00D60E24">
        <w:rPr>
          <w:sz w:val="18"/>
          <w:szCs w:val="18"/>
          <w:lang w:val="pl-PL"/>
        </w:rPr>
        <w:t xml:space="preserve">, </w:t>
      </w:r>
      <w:r w:rsidRPr="00D60E24">
        <w:rPr>
          <w:b/>
          <w:bCs/>
          <w:sz w:val="18"/>
          <w:szCs w:val="18"/>
          <w:lang w:val="pl-PL"/>
        </w:rPr>
        <w:t>30</w:t>
      </w:r>
      <w:r w:rsidR="00217332" w:rsidRPr="00217332">
        <w:rPr>
          <w:sz w:val="18"/>
          <w:szCs w:val="18"/>
          <w:lang w:val="pl-PL"/>
        </w:rPr>
        <w:t>,</w:t>
      </w:r>
      <w:r w:rsidRPr="00D60E24">
        <w:rPr>
          <w:sz w:val="18"/>
          <w:szCs w:val="18"/>
          <w:lang w:val="pl-PL"/>
        </w:rPr>
        <w:t xml:space="preserve"> 464.</w:t>
      </w:r>
    </w:p>
    <w:p w14:paraId="41288C9F" w14:textId="397ADB32" w:rsidR="00803305" w:rsidRPr="00D60E24" w:rsidRDefault="00803305" w:rsidP="00803305">
      <w:pPr>
        <w:pStyle w:val="Tekstpodstawowy2"/>
        <w:tabs>
          <w:tab w:val="left" w:pos="360"/>
        </w:tabs>
        <w:spacing w:line="240" w:lineRule="auto"/>
        <w:ind w:left="357" w:hanging="357"/>
        <w:rPr>
          <w:sz w:val="18"/>
          <w:szCs w:val="18"/>
          <w:lang w:val="pl-PL"/>
        </w:rPr>
      </w:pPr>
      <w:r w:rsidRPr="00D60E24">
        <w:rPr>
          <w:sz w:val="18"/>
          <w:szCs w:val="18"/>
          <w:lang w:val="pl-PL"/>
        </w:rPr>
        <w:t>[</w:t>
      </w:r>
      <w:r w:rsidR="00A16ED7" w:rsidRPr="00D60E24">
        <w:rPr>
          <w:sz w:val="18"/>
          <w:szCs w:val="18"/>
          <w:lang w:val="pl-PL"/>
        </w:rPr>
        <w:t>6</w:t>
      </w:r>
      <w:r w:rsidRPr="00D60E24">
        <w:rPr>
          <w:sz w:val="18"/>
          <w:szCs w:val="18"/>
          <w:lang w:val="pl-PL"/>
        </w:rPr>
        <w:t>]</w:t>
      </w:r>
      <w:r w:rsidR="00CF6E7F">
        <w:rPr>
          <w:sz w:val="18"/>
          <w:szCs w:val="18"/>
          <w:lang w:val="pl-PL"/>
        </w:rPr>
        <w:t xml:space="preserve"> </w:t>
      </w:r>
      <w:r w:rsidR="00152F11">
        <w:rPr>
          <w:sz w:val="18"/>
          <w:szCs w:val="18"/>
          <w:lang w:val="pl-PL"/>
        </w:rPr>
        <w:t xml:space="preserve">Niedbała, P., </w:t>
      </w:r>
      <w:r w:rsidR="00152F11" w:rsidRPr="00D60E24">
        <w:rPr>
          <w:sz w:val="18"/>
          <w:szCs w:val="18"/>
          <w:lang w:val="pl-PL"/>
        </w:rPr>
        <w:t xml:space="preserve">Ceborska, M., </w:t>
      </w:r>
      <w:r w:rsidR="00152F11">
        <w:rPr>
          <w:sz w:val="18"/>
          <w:szCs w:val="18"/>
          <w:lang w:val="pl-PL"/>
        </w:rPr>
        <w:t xml:space="preserve">Mehmet, M., Ignacak, W., </w:t>
      </w:r>
      <w:r w:rsidRPr="00D60E24">
        <w:rPr>
          <w:sz w:val="18"/>
          <w:szCs w:val="18"/>
          <w:lang w:val="pl-PL"/>
        </w:rPr>
        <w:t xml:space="preserve">Jurczak, </w:t>
      </w:r>
      <w:r w:rsidR="003C721A" w:rsidRPr="00D60E24">
        <w:rPr>
          <w:sz w:val="18"/>
          <w:szCs w:val="18"/>
          <w:lang w:val="pl-PL"/>
        </w:rPr>
        <w:t>J.</w:t>
      </w:r>
      <w:r w:rsidR="009F1950">
        <w:rPr>
          <w:sz w:val="18"/>
          <w:szCs w:val="18"/>
          <w:lang w:val="pl-PL"/>
        </w:rPr>
        <w:t xml:space="preserve">, </w:t>
      </w:r>
      <w:r w:rsidR="009F1950" w:rsidRPr="00D60E24">
        <w:rPr>
          <w:sz w:val="18"/>
          <w:szCs w:val="18"/>
          <w:lang w:val="pl-PL"/>
        </w:rPr>
        <w:t>Dąbrowa, K.</w:t>
      </w:r>
      <w:r w:rsidR="003C721A" w:rsidRPr="00D60E24">
        <w:rPr>
          <w:sz w:val="18"/>
          <w:szCs w:val="18"/>
          <w:lang w:val="pl-PL"/>
        </w:rPr>
        <w:t xml:space="preserve"> </w:t>
      </w:r>
      <w:r w:rsidR="00217332" w:rsidRPr="00D60E24">
        <w:rPr>
          <w:sz w:val="18"/>
          <w:szCs w:val="18"/>
          <w:lang w:val="pl-PL"/>
        </w:rPr>
        <w:t>(202</w:t>
      </w:r>
      <w:r w:rsidR="00217332">
        <w:rPr>
          <w:sz w:val="18"/>
          <w:szCs w:val="18"/>
          <w:lang w:val="pl-PL"/>
        </w:rPr>
        <w:t>2</w:t>
      </w:r>
      <w:r w:rsidR="00217332" w:rsidRPr="00D60E24">
        <w:rPr>
          <w:sz w:val="18"/>
          <w:szCs w:val="18"/>
          <w:lang w:val="pl-PL"/>
        </w:rPr>
        <w:t xml:space="preserve">) </w:t>
      </w:r>
      <w:r w:rsidR="00C7685B">
        <w:rPr>
          <w:i/>
          <w:iCs/>
          <w:sz w:val="18"/>
          <w:szCs w:val="18"/>
          <w:lang w:val="pl-PL"/>
        </w:rPr>
        <w:t>Materials</w:t>
      </w:r>
      <w:r w:rsidR="00217332">
        <w:rPr>
          <w:sz w:val="18"/>
          <w:szCs w:val="18"/>
          <w:lang w:val="pl-PL"/>
        </w:rPr>
        <w:t>,</w:t>
      </w:r>
      <w:r w:rsidRPr="00D60E24">
        <w:rPr>
          <w:sz w:val="18"/>
          <w:szCs w:val="18"/>
          <w:lang w:val="pl-PL"/>
        </w:rPr>
        <w:t xml:space="preserve"> </w:t>
      </w:r>
      <w:r w:rsidR="00DD3846">
        <w:rPr>
          <w:b/>
          <w:bCs/>
          <w:sz w:val="18"/>
          <w:szCs w:val="18"/>
          <w:lang w:val="pl-PL"/>
        </w:rPr>
        <w:t>15</w:t>
      </w:r>
      <w:r w:rsidR="00217332" w:rsidRPr="00217332">
        <w:rPr>
          <w:sz w:val="18"/>
          <w:szCs w:val="18"/>
          <w:lang w:val="pl-PL"/>
        </w:rPr>
        <w:t>,</w:t>
      </w:r>
      <w:r w:rsidRPr="00D60E24">
        <w:rPr>
          <w:sz w:val="18"/>
          <w:szCs w:val="18"/>
          <w:lang w:val="pl-PL"/>
        </w:rPr>
        <w:t xml:space="preserve"> </w:t>
      </w:r>
      <w:r w:rsidR="00547DB1">
        <w:rPr>
          <w:sz w:val="18"/>
          <w:szCs w:val="18"/>
          <w:lang w:val="pl-PL"/>
        </w:rPr>
        <w:t>69</w:t>
      </w:r>
      <w:r w:rsidR="00DD3846">
        <w:rPr>
          <w:sz w:val="18"/>
          <w:szCs w:val="18"/>
          <w:lang w:val="pl-PL"/>
        </w:rPr>
        <w:t>2</w:t>
      </w:r>
      <w:r w:rsidRPr="00D60E24">
        <w:rPr>
          <w:sz w:val="18"/>
          <w:szCs w:val="18"/>
          <w:lang w:val="pl-PL"/>
        </w:rPr>
        <w:t>.</w:t>
      </w:r>
    </w:p>
    <w:sectPr w:rsidR="00803305" w:rsidRPr="00D60E2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63A1" w14:textId="77777777" w:rsidR="00907131" w:rsidRDefault="00907131">
      <w:pPr>
        <w:spacing w:after="0"/>
      </w:pPr>
      <w:r>
        <w:separator/>
      </w:r>
    </w:p>
  </w:endnote>
  <w:endnote w:type="continuationSeparator" w:id="0">
    <w:p w14:paraId="671C0908" w14:textId="77777777" w:rsidR="00907131" w:rsidRDefault="00907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CCDD" w14:textId="77777777" w:rsidR="00943B04" w:rsidRDefault="00000000">
    <w:pPr>
      <w:pStyle w:val="Stopka"/>
    </w:pPr>
    <w:r>
      <w:t>Acta Cryst. (2025). A81, e1</w:t>
    </w:r>
  </w:p>
  <w:p w14:paraId="7DAE2C8C" w14:textId="77777777" w:rsidR="00943B04" w:rsidRDefault="00943B0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39A0" w14:textId="77777777" w:rsidR="00907131" w:rsidRDefault="00907131">
      <w:pPr>
        <w:spacing w:after="0"/>
      </w:pPr>
      <w:r>
        <w:separator/>
      </w:r>
    </w:p>
  </w:footnote>
  <w:footnote w:type="continuationSeparator" w:id="0">
    <w:p w14:paraId="580E0FC4" w14:textId="77777777" w:rsidR="00907131" w:rsidRDefault="009071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45BC" w14:textId="77777777" w:rsidR="00943B04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04"/>
    <w:rsid w:val="00063F0C"/>
    <w:rsid w:val="00076D10"/>
    <w:rsid w:val="000B2A97"/>
    <w:rsid w:val="001126CB"/>
    <w:rsid w:val="00152F11"/>
    <w:rsid w:val="0018664A"/>
    <w:rsid w:val="00187F7F"/>
    <w:rsid w:val="00217332"/>
    <w:rsid w:val="002A069C"/>
    <w:rsid w:val="002B1F90"/>
    <w:rsid w:val="002B7B58"/>
    <w:rsid w:val="002D497A"/>
    <w:rsid w:val="00350E80"/>
    <w:rsid w:val="00364470"/>
    <w:rsid w:val="003C721A"/>
    <w:rsid w:val="004863E8"/>
    <w:rsid w:val="004A2E87"/>
    <w:rsid w:val="004F0536"/>
    <w:rsid w:val="004F3394"/>
    <w:rsid w:val="005258EB"/>
    <w:rsid w:val="00547DB1"/>
    <w:rsid w:val="005C50CF"/>
    <w:rsid w:val="006C47BB"/>
    <w:rsid w:val="006E0454"/>
    <w:rsid w:val="007548A0"/>
    <w:rsid w:val="00767F31"/>
    <w:rsid w:val="007970CB"/>
    <w:rsid w:val="007C0560"/>
    <w:rsid w:val="00803305"/>
    <w:rsid w:val="00807229"/>
    <w:rsid w:val="0084067C"/>
    <w:rsid w:val="0084709A"/>
    <w:rsid w:val="008962FF"/>
    <w:rsid w:val="008A41F2"/>
    <w:rsid w:val="008D5E22"/>
    <w:rsid w:val="00907131"/>
    <w:rsid w:val="00943B04"/>
    <w:rsid w:val="0096575F"/>
    <w:rsid w:val="0097071E"/>
    <w:rsid w:val="00982E71"/>
    <w:rsid w:val="009A2AF0"/>
    <w:rsid w:val="009B5710"/>
    <w:rsid w:val="009F1950"/>
    <w:rsid w:val="00A16ED7"/>
    <w:rsid w:val="00A541F6"/>
    <w:rsid w:val="00A845B7"/>
    <w:rsid w:val="00AB2235"/>
    <w:rsid w:val="00AD2EBC"/>
    <w:rsid w:val="00AE3802"/>
    <w:rsid w:val="00B12D4C"/>
    <w:rsid w:val="00B25BB5"/>
    <w:rsid w:val="00B40A2C"/>
    <w:rsid w:val="00B41DE4"/>
    <w:rsid w:val="00B60DAD"/>
    <w:rsid w:val="00BA3F68"/>
    <w:rsid w:val="00BF75A0"/>
    <w:rsid w:val="00C301C7"/>
    <w:rsid w:val="00C50B8E"/>
    <w:rsid w:val="00C7685B"/>
    <w:rsid w:val="00CB50B5"/>
    <w:rsid w:val="00CD233F"/>
    <w:rsid w:val="00CF6E7F"/>
    <w:rsid w:val="00D60E24"/>
    <w:rsid w:val="00DA4955"/>
    <w:rsid w:val="00DB5888"/>
    <w:rsid w:val="00DC0074"/>
    <w:rsid w:val="00DD3846"/>
    <w:rsid w:val="00E1451E"/>
    <w:rsid w:val="00E3359D"/>
    <w:rsid w:val="00ED0C05"/>
    <w:rsid w:val="00F66CB9"/>
    <w:rsid w:val="00F77521"/>
    <w:rsid w:val="00FD7ACB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936"/>
  <w15:docId w15:val="{0581BDAA-8BBB-411D-8D59-41C9DA70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ny"/>
    <w:next w:val="Normalny"/>
    <w:rsid w:val="002D497A"/>
    <w:pPr>
      <w:suppressAutoHyphens w:val="0"/>
      <w:spacing w:after="0"/>
      <w:jc w:val="center"/>
    </w:pPr>
    <w:rPr>
      <w:rFonts w:eastAsia="SimSun"/>
      <w:sz w:val="24"/>
      <w:szCs w:val="24"/>
      <w:lang w:val="hr-HR" w:eastAsia="en-US"/>
    </w:rPr>
  </w:style>
  <w:style w:type="character" w:customStyle="1" w:styleId="AuthorsafiiliationChar">
    <w:name w:val="Author's afiiliation Char"/>
    <w:rsid w:val="002D497A"/>
    <w:rPr>
      <w:i/>
      <w:iCs w:val="0"/>
      <w:sz w:val="24"/>
      <w:szCs w:val="24"/>
      <w:lang w:val="hr-HR" w:eastAsia="en-US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305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305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Magdalena Ceborska</cp:lastModifiedBy>
  <cp:revision>64</cp:revision>
  <dcterms:created xsi:type="dcterms:W3CDTF">2025-04-23T12:21:00Z</dcterms:created>
  <dcterms:modified xsi:type="dcterms:W3CDTF">2025-04-25T08:14:00Z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