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4392C" w14:textId="7CB1EDF5" w:rsidR="00317B54" w:rsidRDefault="00AB7EDC">
      <w:pPr>
        <w:pStyle w:val="Heading1"/>
      </w:pPr>
      <w:r>
        <w:t>Kinetic screening using grating</w:t>
      </w:r>
      <w:r w:rsidR="00BD21ED">
        <w:t>-coupled interferometry (GCI) – highly sensitive biosensor-based assay</w:t>
      </w:r>
      <w:r w:rsidR="0005235E">
        <w:t>s</w:t>
      </w:r>
      <w:r w:rsidR="00BD21ED">
        <w:t xml:space="preserve"> </w:t>
      </w:r>
      <w:r w:rsidR="00FA7FAD">
        <w:t>enable</w:t>
      </w:r>
      <w:r w:rsidR="00BD21ED">
        <w:t xml:space="preserve"> the identification of weak fragment hits across a diverse set of challenging targets</w:t>
      </w:r>
      <w:r w:rsidR="00000000">
        <w:t xml:space="preserve"> </w:t>
      </w:r>
    </w:p>
    <w:p w14:paraId="75A4392D" w14:textId="2B2F5B3C" w:rsidR="00317B54" w:rsidRDefault="00BD21ED">
      <w:pPr>
        <w:pStyle w:val="Heading2"/>
      </w:pPr>
      <w:r>
        <w:t>M</w:t>
      </w:r>
      <w:r w:rsidR="00000000">
        <w:t xml:space="preserve">. </w:t>
      </w:r>
      <w:r>
        <w:t>Janczuk-Richter</w:t>
      </w:r>
      <w:r w:rsidR="00000000">
        <w:rPr>
          <w:vertAlign w:val="superscript"/>
        </w:rPr>
        <w:t>1</w:t>
      </w:r>
      <w:bookmarkStart w:id="0" w:name="_Hlk196813917"/>
      <w:r w:rsidR="0005235E">
        <w:rPr>
          <w:vertAlign w:val="superscript"/>
        </w:rPr>
        <w:t>,2</w:t>
      </w:r>
      <w:r w:rsidR="00000000">
        <w:t xml:space="preserve">, </w:t>
      </w:r>
      <w:r>
        <w:t>E</w:t>
      </w:r>
      <w:r w:rsidR="00000000">
        <w:t>.</w:t>
      </w:r>
      <w:r>
        <w:t xml:space="preserve"> A.</w:t>
      </w:r>
      <w:r w:rsidR="00000000">
        <w:t xml:space="preserve"> </w:t>
      </w:r>
      <w:r w:rsidR="00262794" w:rsidRPr="00E41345">
        <w:t>FitzGerald</w:t>
      </w:r>
      <w:r w:rsidR="00000000">
        <w:rPr>
          <w:vertAlign w:val="superscript"/>
        </w:rPr>
        <w:t>1</w:t>
      </w:r>
      <w:r w:rsidR="0005235E">
        <w:rPr>
          <w:vertAlign w:val="superscript"/>
        </w:rPr>
        <w:t>,2</w:t>
      </w:r>
      <w:r w:rsidR="00000000">
        <w:t xml:space="preserve">, </w:t>
      </w:r>
      <w:r w:rsidR="00262794">
        <w:t>D</w:t>
      </w:r>
      <w:r w:rsidR="00000000">
        <w:t xml:space="preserve">. </w:t>
      </w:r>
      <w:r w:rsidR="00AA6838" w:rsidRPr="00AA6838">
        <w:t>Cederfeldt</w:t>
      </w:r>
      <w:bookmarkEnd w:id="0"/>
      <w:r w:rsidR="0005235E">
        <w:rPr>
          <w:vertAlign w:val="superscript"/>
        </w:rPr>
        <w:t>3</w:t>
      </w:r>
      <w:r w:rsidR="00AA6838">
        <w:t xml:space="preserve">, </w:t>
      </w:r>
      <w:r w:rsidR="00AA6838">
        <w:t>B</w:t>
      </w:r>
      <w:r w:rsidR="006608B5">
        <w:t>. A</w:t>
      </w:r>
      <w:r w:rsidR="00AA6838">
        <w:t xml:space="preserve">. </w:t>
      </w:r>
      <w:r w:rsidR="006608B5">
        <w:t>Lund</w:t>
      </w:r>
      <w:r w:rsidR="0005235E">
        <w:rPr>
          <w:vertAlign w:val="superscript"/>
        </w:rPr>
        <w:t>3</w:t>
      </w:r>
      <w:r w:rsidR="00AA6838">
        <w:t xml:space="preserve">, </w:t>
      </w:r>
      <w:r w:rsidR="006608B5">
        <w:t>T</w:t>
      </w:r>
      <w:r w:rsidR="00AA6838">
        <w:t xml:space="preserve">. </w:t>
      </w:r>
      <w:r w:rsidR="006608B5">
        <w:t>Pesnot</w:t>
      </w:r>
      <w:r w:rsidR="0005235E">
        <w:rPr>
          <w:vertAlign w:val="superscript"/>
        </w:rPr>
        <w:t>4</w:t>
      </w:r>
      <w:r w:rsidR="006608B5">
        <w:t xml:space="preserve">, </w:t>
      </w:r>
      <w:r w:rsidR="006608B5">
        <w:t>N</w:t>
      </w:r>
      <w:r w:rsidR="006608B5">
        <w:t xml:space="preserve">. </w:t>
      </w:r>
      <w:r w:rsidR="006608B5">
        <w:t>Markova</w:t>
      </w:r>
      <w:r w:rsidR="006608B5">
        <w:rPr>
          <w:vertAlign w:val="superscript"/>
        </w:rPr>
        <w:t>1</w:t>
      </w:r>
      <w:r w:rsidR="0005235E">
        <w:rPr>
          <w:vertAlign w:val="superscript"/>
        </w:rPr>
        <w:t>,2</w:t>
      </w:r>
      <w:r w:rsidR="006608B5">
        <w:t xml:space="preserve">, </w:t>
      </w:r>
      <w:r w:rsidR="00FC7FBA">
        <w:t>U</w:t>
      </w:r>
      <w:r w:rsidR="006608B5">
        <w:t>.</w:t>
      </w:r>
      <w:r w:rsidR="00FC7FBA">
        <w:t xml:space="preserve"> H.</w:t>
      </w:r>
      <w:r w:rsidR="006608B5">
        <w:t xml:space="preserve"> </w:t>
      </w:r>
      <w:r w:rsidR="00FC7FBA">
        <w:t>Danielson</w:t>
      </w:r>
      <w:r w:rsidR="00C23429">
        <w:rPr>
          <w:vertAlign w:val="superscript"/>
        </w:rPr>
        <w:t>3</w:t>
      </w:r>
      <w:r w:rsidR="00FC7FBA">
        <w:t xml:space="preserve">, </w:t>
      </w:r>
      <w:r w:rsidR="00FC7FBA">
        <w:t>K</w:t>
      </w:r>
      <w:r w:rsidR="00FC7FBA">
        <w:t xml:space="preserve">. </w:t>
      </w:r>
      <w:r w:rsidR="00FC7FBA">
        <w:t>Cottier</w:t>
      </w:r>
      <w:r w:rsidR="00C23429">
        <w:rPr>
          <w:vertAlign w:val="superscript"/>
        </w:rPr>
        <w:t>1,2</w:t>
      </w:r>
    </w:p>
    <w:p w14:paraId="75A4392E" w14:textId="1379A166" w:rsidR="00317B54" w:rsidRDefault="00000000" w:rsidP="00C2475B">
      <w:pPr>
        <w:pStyle w:val="Heading3"/>
      </w:pPr>
      <w:r>
        <w:rPr>
          <w:vertAlign w:val="superscript"/>
        </w:rPr>
        <w:t>1</w:t>
      </w:r>
      <w:r w:rsidR="00C23429" w:rsidRPr="00C23429">
        <w:t>Creoptix AG, Zugerstrasse 76, 8820 Waedenswil, Switzerland</w:t>
      </w:r>
      <w:r>
        <w:t xml:space="preserve">, </w:t>
      </w:r>
      <w:r>
        <w:rPr>
          <w:vertAlign w:val="superscript"/>
        </w:rPr>
        <w:t>2</w:t>
      </w:r>
      <w:r w:rsidR="00C23429">
        <w:t xml:space="preserve">Malvern Panalytical, Malvern, United Kingdom, </w:t>
      </w:r>
      <w:r w:rsidR="00C23429" w:rsidRPr="00C2475B">
        <w:rPr>
          <w:vertAlign w:val="superscript"/>
        </w:rPr>
        <w:t>3</w:t>
      </w:r>
      <w:r w:rsidR="001336EA" w:rsidRPr="001336EA">
        <w:t>Department of Chemistry – BMC, Uppsala University</w:t>
      </w:r>
      <w:r w:rsidR="001336EA">
        <w:t xml:space="preserve">, </w:t>
      </w:r>
      <w:r w:rsidR="001336EA" w:rsidRPr="00C2475B">
        <w:rPr>
          <w:vertAlign w:val="superscript"/>
        </w:rPr>
        <w:t>4</w:t>
      </w:r>
      <w:r w:rsidR="00C2475B">
        <w:t>Concept Life Sciences, Frith Knoll Road, Chapel-en-le-Frith, High Peak, SK23 0PG,</w:t>
      </w:r>
      <w:r w:rsidR="00C2475B">
        <w:t xml:space="preserve"> </w:t>
      </w:r>
      <w:r w:rsidR="00C2475B">
        <w:t>United Kingdom</w:t>
      </w:r>
    </w:p>
    <w:p w14:paraId="75A4392F" w14:textId="6C4F1896" w:rsidR="00317B54" w:rsidRDefault="003C53A0">
      <w:pPr>
        <w:pStyle w:val="Heading3"/>
        <w:rPr>
          <w:sz w:val="18"/>
          <w:szCs w:val="18"/>
        </w:rPr>
      </w:pPr>
      <w:r>
        <w:t>marta.janczuk</w:t>
      </w:r>
      <w:r w:rsidR="00000000">
        <w:t>@</w:t>
      </w:r>
      <w:r>
        <w:t>malvernpanalytical.com</w:t>
      </w:r>
      <w:r w:rsidR="00000000">
        <w:rPr>
          <w:lang w:eastAsia="de-DE"/>
        </w:rPr>
        <w:br/>
      </w:r>
    </w:p>
    <w:p w14:paraId="7F00B8DC" w14:textId="77777777" w:rsidR="00763834" w:rsidRPr="00483AFF" w:rsidRDefault="00763834" w:rsidP="00763834">
      <w:r w:rsidRPr="00483AFF">
        <w:t xml:space="preserve">Grating coupled interferometry (GCI) is a surface-based label-free biosensing technique. When target molecules (e.g., proteins) are attached to the sensor surface, binding of analytes leads to an increase in mass and hence to a change in the refractive index within the evanescent field near the sensing surface. </w:t>
      </w:r>
    </w:p>
    <w:p w14:paraId="59C0CEC6" w14:textId="77777777" w:rsidR="00763834" w:rsidRDefault="00763834" w:rsidP="00763834">
      <w:r w:rsidRPr="00483AFF">
        <w:t>In GCI, refractive index changes on a sensor surface are measured as time-dependent phase-shift signals. The long light-to-sample interaction length of the waveguide provides intrinsically high signal-to-noise levels for improved sensitivity [1]. With high sensitivity and innate compatibility with high molecular weight ratios combined with an innovative, fast-transition fluidics architecture, the Creoptix® WAVEsystem can fully resolve extremely rapid binding kinetics [2].</w:t>
      </w:r>
    </w:p>
    <w:p w14:paraId="54C96FB3" w14:textId="77777777" w:rsidR="00763834" w:rsidRDefault="00763834" w:rsidP="00763834">
      <w:r w:rsidRPr="005256F2">
        <w:t xml:space="preserve">GCI technology has a broad range of applications including fragment-based screening and kinetic analysis of small molecules, protein-protein, protein-peptide, and antibody-antigen interactions. </w:t>
      </w:r>
    </w:p>
    <w:p w14:paraId="4ECF03D6" w14:textId="141D3E4A" w:rsidR="00763834" w:rsidRDefault="00763834" w:rsidP="00763834">
      <w:r>
        <w:t>GCI is ideally suited for fragment-based drug discovery due to inherent sensitivity of the detection principle, and the ability to capture fast transitions. Here we show a collection of challenging target classes across a variety of fragment-based drug discovery projects where GCI was used to screen fragment libraries comprising of ~1100 compounds [3,4]. Hits were picked based on statistical errors and kinetic rate constants. Identified hits were subsequently validated via orthogonal methods including XRC and DSF, highlighting the robustness, reliability, and superior sensitivity of GCI.</w:t>
      </w:r>
    </w:p>
    <w:p w14:paraId="75A4393D" w14:textId="25B8676B" w:rsidR="00317B54" w:rsidRDefault="00000000">
      <w:pPr>
        <w:pStyle w:val="Heading4"/>
      </w:pPr>
      <w:r>
        <w:t xml:space="preserve">[1] </w:t>
      </w:r>
      <w:r w:rsidR="00D82A29">
        <w:t>Patko, D., Cottier, K., Hamori, A. and Horvath, R.</w:t>
      </w:r>
      <w:r>
        <w:t xml:space="preserve"> (</w:t>
      </w:r>
      <w:r w:rsidR="00D82A29">
        <w:t>2012</w:t>
      </w:r>
      <w:r>
        <w:t xml:space="preserve">). </w:t>
      </w:r>
      <w:r w:rsidR="00D82A29">
        <w:rPr>
          <w:i/>
        </w:rPr>
        <w:t>Optics Express</w:t>
      </w:r>
      <w:r>
        <w:rPr>
          <w:i/>
        </w:rPr>
        <w:t>.</w:t>
      </w:r>
      <w:r>
        <w:t xml:space="preserve"> </w:t>
      </w:r>
      <w:r w:rsidR="002B4BCD">
        <w:rPr>
          <w:b/>
        </w:rPr>
        <w:t>20</w:t>
      </w:r>
      <w:r>
        <w:t xml:space="preserve">, </w:t>
      </w:r>
      <w:r w:rsidR="003E7763">
        <w:t>23162</w:t>
      </w:r>
      <w:r>
        <w:t>.</w:t>
      </w:r>
    </w:p>
    <w:p w14:paraId="75A4393E" w14:textId="25DB392E" w:rsidR="00317B54" w:rsidRDefault="00000000">
      <w:pPr>
        <w:pStyle w:val="Heading4"/>
      </w:pPr>
      <w:r>
        <w:t xml:space="preserve">[2] </w:t>
      </w:r>
      <w:r w:rsidR="004F7DDE">
        <w:t>Kartal, Ö., Andres, F., Lai, M.P., Nehme, R. and Cottier, K.</w:t>
      </w:r>
      <w:r>
        <w:t xml:space="preserve"> (</w:t>
      </w:r>
      <w:r w:rsidR="004F7DDE">
        <w:t>2021</w:t>
      </w:r>
      <w:r>
        <w:t xml:space="preserve">). </w:t>
      </w:r>
      <w:r w:rsidR="003611EF">
        <w:rPr>
          <w:i/>
        </w:rPr>
        <w:t xml:space="preserve">SLAS </w:t>
      </w:r>
      <w:r w:rsidR="00A656E9">
        <w:rPr>
          <w:i/>
        </w:rPr>
        <w:t>Discov</w:t>
      </w:r>
      <w:r w:rsidR="00945071">
        <w:rPr>
          <w:i/>
        </w:rPr>
        <w:t>.</w:t>
      </w:r>
      <w:r>
        <w:t xml:space="preserve">, </w:t>
      </w:r>
      <w:r w:rsidR="00945071">
        <w:rPr>
          <w:b/>
        </w:rPr>
        <w:t>26</w:t>
      </w:r>
      <w:r>
        <w:t xml:space="preserve">, </w:t>
      </w:r>
      <w:r w:rsidR="00945071">
        <w:t>995</w:t>
      </w:r>
      <w:r>
        <w:t>.</w:t>
      </w:r>
    </w:p>
    <w:p w14:paraId="75A43941" w14:textId="4DFABB90" w:rsidR="00317B54" w:rsidRDefault="00000000" w:rsidP="00D24636">
      <w:pPr>
        <w:pStyle w:val="Heading4"/>
      </w:pPr>
      <w:r>
        <w:t xml:space="preserve">[3] </w:t>
      </w:r>
      <w:r w:rsidR="00D0113C">
        <w:t>FitzGerald, E.A., Butko, M.T., Boronat, P., Cederfelt, D., Abramsson, M., Ludviksdottir, H., van Muijlwijk-Koezen, J.E., de Esch, I.J., Dobritzsch, D., Young, T. and Danielson, U.H.</w:t>
      </w:r>
      <w:r w:rsidR="00945071">
        <w:t xml:space="preserve"> (2021). </w:t>
      </w:r>
      <w:r w:rsidR="00D0113C">
        <w:rPr>
          <w:i/>
        </w:rPr>
        <w:t>RCS Adv</w:t>
      </w:r>
      <w:r w:rsidR="00945071">
        <w:rPr>
          <w:i/>
        </w:rPr>
        <w:t>.</w:t>
      </w:r>
      <w:r w:rsidR="00945071">
        <w:t xml:space="preserve">, </w:t>
      </w:r>
      <w:r w:rsidR="00D0113C">
        <w:rPr>
          <w:b/>
        </w:rPr>
        <w:t>11</w:t>
      </w:r>
      <w:r w:rsidR="00945071">
        <w:t xml:space="preserve">, </w:t>
      </w:r>
      <w:r w:rsidR="00D0113C">
        <w:t>7527</w:t>
      </w:r>
      <w:r w:rsidR="00945071">
        <w:t>.</w:t>
      </w:r>
    </w:p>
    <w:p w14:paraId="5D540B42" w14:textId="38AD1DDC" w:rsidR="00B90C12" w:rsidRPr="00B90C12" w:rsidRDefault="00B90C12" w:rsidP="00B90C12">
      <w:pPr>
        <w:pStyle w:val="Heading4"/>
      </w:pPr>
      <w:r>
        <w:t>[</w:t>
      </w:r>
      <w:r>
        <w:t>4</w:t>
      </w:r>
      <w:r>
        <w:t xml:space="preserve">] </w:t>
      </w:r>
      <w:r w:rsidR="00FA7360">
        <w:t>Talibov, V.O., Fabini, E., FitzGerald, E.A., Tedesco, D., Cederfeldt, D., Talu, M.J., Rachman, M.M., Mihalic, F., Manoni, E., Naldi, M. and Sanese, P.</w:t>
      </w:r>
      <w:r>
        <w:t xml:space="preserve"> (2021). </w:t>
      </w:r>
      <w:r w:rsidR="00FA7360">
        <w:rPr>
          <w:i/>
        </w:rPr>
        <w:t>ChemBioChem</w:t>
      </w:r>
      <w:r>
        <w:rPr>
          <w:i/>
        </w:rPr>
        <w:t>.</w:t>
      </w:r>
      <w:r>
        <w:t xml:space="preserve">, </w:t>
      </w:r>
      <w:r w:rsidR="00FA7360">
        <w:rPr>
          <w:b/>
        </w:rPr>
        <w:t>22</w:t>
      </w:r>
      <w:r>
        <w:t xml:space="preserve">, </w:t>
      </w:r>
      <w:r w:rsidR="00FA7360">
        <w:t>1597</w:t>
      </w:r>
      <w:r>
        <w:t>.</w:t>
      </w:r>
    </w:p>
    <w:sectPr w:rsidR="00B90C12" w:rsidRPr="00B90C12">
      <w:headerReference w:type="even" r:id="rId7"/>
      <w:headerReference w:type="default" r:id="rId8"/>
      <w:footerReference w:type="even" r:id="rId9"/>
      <w:footerReference w:type="default" r:id="rId10"/>
      <w:headerReference w:type="first" r:id="rId11"/>
      <w:footerReference w:type="first" r:id="rId12"/>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D3D56" w14:textId="77777777" w:rsidR="007A15E4" w:rsidRDefault="007A15E4">
      <w:pPr>
        <w:spacing w:after="0"/>
      </w:pPr>
      <w:r>
        <w:separator/>
      </w:r>
    </w:p>
  </w:endnote>
  <w:endnote w:type="continuationSeparator" w:id="0">
    <w:p w14:paraId="29D1CBE2" w14:textId="77777777" w:rsidR="007A15E4" w:rsidRDefault="007A1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5615" w14:textId="77777777" w:rsidR="009D0C02" w:rsidRDefault="009D0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3945" w14:textId="77777777" w:rsidR="00317B54" w:rsidRDefault="00000000">
    <w:pPr>
      <w:pStyle w:val="Footer"/>
    </w:pPr>
    <w:r>
      <w:t>Acta Cryst. (2025). A81, e1</w:t>
    </w:r>
  </w:p>
  <w:p w14:paraId="75A43946" w14:textId="77777777" w:rsidR="00317B54" w:rsidRDefault="00317B54">
    <w:pPr>
      <w:tabs>
        <w:tab w:val="center" w:pos="4703"/>
        <w:tab w:val="right" w:pos="94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E3C4" w14:textId="77777777" w:rsidR="009D0C02" w:rsidRDefault="009D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ED372" w14:textId="77777777" w:rsidR="007A15E4" w:rsidRDefault="007A15E4">
      <w:pPr>
        <w:spacing w:after="0"/>
      </w:pPr>
      <w:r>
        <w:separator/>
      </w:r>
    </w:p>
  </w:footnote>
  <w:footnote w:type="continuationSeparator" w:id="0">
    <w:p w14:paraId="27542F6E" w14:textId="77777777" w:rsidR="007A15E4" w:rsidRDefault="007A15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F43F" w14:textId="77777777" w:rsidR="009D0C02" w:rsidRDefault="009D0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3944" w14:textId="77777777" w:rsidR="00317B54" w:rsidRDefault="00000000">
    <w:pPr>
      <w:tabs>
        <w:tab w:val="center" w:pos="4703"/>
        <w:tab w:val="right" w:pos="9406"/>
      </w:tabs>
    </w:pPr>
    <w:r>
      <w:rPr>
        <w:b/>
        <w:bCs/>
      </w:rPr>
      <w:t>MS</w:t>
    </w:r>
    <w:r>
      <w:tab/>
    </w:r>
    <w:r>
      <w:rPr>
        <w:b/>
        <w:bCs/>
      </w:rPr>
      <w:t>Microsymposium</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7A58" w14:textId="77777777" w:rsidR="009D0C02" w:rsidRDefault="009D0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B54"/>
    <w:rsid w:val="0005235E"/>
    <w:rsid w:val="001336EA"/>
    <w:rsid w:val="00137F51"/>
    <w:rsid w:val="00262794"/>
    <w:rsid w:val="002B4BCD"/>
    <w:rsid w:val="00317B54"/>
    <w:rsid w:val="00351027"/>
    <w:rsid w:val="003611EF"/>
    <w:rsid w:val="003C53A0"/>
    <w:rsid w:val="003E7763"/>
    <w:rsid w:val="004247F3"/>
    <w:rsid w:val="004F7DDE"/>
    <w:rsid w:val="005C78C9"/>
    <w:rsid w:val="006608B5"/>
    <w:rsid w:val="00763834"/>
    <w:rsid w:val="007A15E4"/>
    <w:rsid w:val="008D09D7"/>
    <w:rsid w:val="00945071"/>
    <w:rsid w:val="009D0C02"/>
    <w:rsid w:val="00A15A50"/>
    <w:rsid w:val="00A656E9"/>
    <w:rsid w:val="00AA6838"/>
    <w:rsid w:val="00AB7EDC"/>
    <w:rsid w:val="00B90C12"/>
    <w:rsid w:val="00BD21ED"/>
    <w:rsid w:val="00C23429"/>
    <w:rsid w:val="00C2475B"/>
    <w:rsid w:val="00D0113C"/>
    <w:rsid w:val="00D24636"/>
    <w:rsid w:val="00D82A29"/>
    <w:rsid w:val="00FA7360"/>
    <w:rsid w:val="00FA7FAD"/>
    <w:rsid w:val="00FC7FB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392C"/>
  <w15:docId w15:val="{B60DD7AE-0281-424B-A93F-9077E4EF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416</Words>
  <Characters>2376</Characters>
  <Application>Microsoft Office Word</Application>
  <DocSecurity>0</DocSecurity>
  <Lines>19</Lines>
  <Paragraphs>5</Paragraphs>
  <ScaleCrop>false</ScaleCrop>
  <Company>MFF UK</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Marta Janczuk-Richter</cp:lastModifiedBy>
  <cp:revision>31</cp:revision>
  <dcterms:created xsi:type="dcterms:W3CDTF">2025-04-29T08:05:00Z</dcterms:created>
  <dcterms:modified xsi:type="dcterms:W3CDTF">2025-04-30T07:53:00Z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3a6cd297-68f3-4e9c-a217-8f77a18ff69a_Enabled">
    <vt:lpwstr>true</vt:lpwstr>
  </property>
  <property fmtid="{D5CDD505-2E9C-101B-9397-08002B2CF9AE}" pid="7" name="MSIP_Label_3a6cd297-68f3-4e9c-a217-8f77a18ff69a_SetDate">
    <vt:lpwstr>2025-04-29T08:05:06Z</vt:lpwstr>
  </property>
  <property fmtid="{D5CDD505-2E9C-101B-9397-08002B2CF9AE}" pid="8" name="MSIP_Label_3a6cd297-68f3-4e9c-a217-8f77a18ff69a_Method">
    <vt:lpwstr>Privileged</vt:lpwstr>
  </property>
  <property fmtid="{D5CDD505-2E9C-101B-9397-08002B2CF9AE}" pid="9" name="MSIP_Label_3a6cd297-68f3-4e9c-a217-8f77a18ff69a_Name">
    <vt:lpwstr>Unrestricted</vt:lpwstr>
  </property>
  <property fmtid="{D5CDD505-2E9C-101B-9397-08002B2CF9AE}" pid="10" name="MSIP_Label_3a6cd297-68f3-4e9c-a217-8f77a18ff69a_SiteId">
    <vt:lpwstr>071061f3-d569-4688-9ede-b63a6a7f1ecc</vt:lpwstr>
  </property>
  <property fmtid="{D5CDD505-2E9C-101B-9397-08002B2CF9AE}" pid="11" name="MSIP_Label_3a6cd297-68f3-4e9c-a217-8f77a18ff69a_ActionId">
    <vt:lpwstr>dc296d06-0070-4d1d-8afd-9dac1fe1f436</vt:lpwstr>
  </property>
  <property fmtid="{D5CDD505-2E9C-101B-9397-08002B2CF9AE}" pid="12" name="MSIP_Label_3a6cd297-68f3-4e9c-a217-8f77a18ff69a_ContentBits">
    <vt:lpwstr>3</vt:lpwstr>
  </property>
  <property fmtid="{D5CDD505-2E9C-101B-9397-08002B2CF9AE}" pid="13" name="MSIP_Label_3a6cd297-68f3-4e9c-a217-8f77a18ff69a_Tag">
    <vt:lpwstr>10, 0, 1, 1</vt:lpwstr>
  </property>
</Properties>
</file>