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E48E0" w14:textId="73EE554F" w:rsidR="00015493" w:rsidRDefault="00F877BD" w:rsidP="00F877BD">
      <w:pPr>
        <w:pStyle w:val="Heading1"/>
      </w:pPr>
      <w:r w:rsidRPr="00E366D7">
        <w:t xml:space="preserve">A score and nine </w:t>
      </w:r>
      <w:r w:rsidRPr="00F877BD">
        <w:t>years</w:t>
      </w:r>
      <w:r w:rsidRPr="00E366D7">
        <w:t xml:space="preserve"> of irbesartan</w:t>
      </w:r>
    </w:p>
    <w:p w14:paraId="701E8739" w14:textId="40A16C08" w:rsidR="00015493" w:rsidRDefault="005D014B" w:rsidP="00F877BD">
      <w:pPr>
        <w:pStyle w:val="Heading2"/>
      </w:pPr>
      <w:r>
        <w:t>Farzaneh Fadaei-Tirani</w:t>
      </w:r>
      <w:r w:rsidR="00BE3333">
        <w:rPr>
          <w:vertAlign w:val="superscript"/>
        </w:rPr>
        <w:t>1</w:t>
      </w:r>
      <w:r>
        <w:t xml:space="preserve">, </w:t>
      </w:r>
      <w:r w:rsidR="00F877BD">
        <w:t>Philippe Ochsenbein</w:t>
      </w:r>
      <w:r w:rsidR="00BE3333">
        <w:rPr>
          <w:vertAlign w:val="superscript"/>
        </w:rPr>
        <w:t>2</w:t>
      </w:r>
      <w:r w:rsidR="00F877BD" w:rsidRPr="00131F37">
        <w:t>*</w:t>
      </w:r>
      <w:r w:rsidR="00F877BD">
        <w:t xml:space="preserve">, </w:t>
      </w:r>
      <w:r w:rsidR="00F877BD" w:rsidRPr="00F877BD">
        <w:t>Michel</w:t>
      </w:r>
      <w:r w:rsidR="00F877BD">
        <w:t xml:space="preserve"> Bonin</w:t>
      </w:r>
      <w:r w:rsidR="00BE3333">
        <w:rPr>
          <w:vertAlign w:val="superscript"/>
        </w:rPr>
        <w:t>3</w:t>
      </w:r>
      <w:r w:rsidR="00F877BD">
        <w:t xml:space="preserve">, </w:t>
      </w:r>
      <w:r w:rsidR="00F877BD" w:rsidRPr="00E366D7">
        <w:t>Marie-Hélène Lemée</w:t>
      </w:r>
      <w:r w:rsidR="00F877BD" w:rsidRPr="00F877BD">
        <w:rPr>
          <w:vertAlign w:val="superscript"/>
        </w:rPr>
        <w:t>4</w:t>
      </w:r>
      <w:r w:rsidR="00F877BD" w:rsidRPr="00E366D7">
        <w:t>, Jérôme Kieffer</w:t>
      </w:r>
      <w:r w:rsidR="00F877BD" w:rsidRPr="00F877BD">
        <w:rPr>
          <w:vertAlign w:val="superscript"/>
        </w:rPr>
        <w:t>5</w:t>
      </w:r>
      <w:r w:rsidR="00F877BD" w:rsidRPr="00E366D7">
        <w:t>,</w:t>
      </w:r>
      <w:r w:rsidR="00F877BD">
        <w:t xml:space="preserve"> </w:t>
      </w:r>
      <w:r w:rsidR="00F877BD" w:rsidRPr="00E366D7">
        <w:t>Daniel Görl</w:t>
      </w:r>
      <w:r w:rsidR="008644DB">
        <w:rPr>
          <w:vertAlign w:val="superscript"/>
        </w:rPr>
        <w:t>6</w:t>
      </w:r>
      <w:r w:rsidR="00F877BD" w:rsidRPr="00E366D7">
        <w:t xml:space="preserve">, </w:t>
      </w:r>
      <w:r w:rsidR="00F877BD">
        <w:t>Mohamed El-Hajji</w:t>
      </w:r>
      <w:r w:rsidR="008858FD">
        <w:rPr>
          <w:vertAlign w:val="superscript"/>
        </w:rPr>
        <w:t>1</w:t>
      </w:r>
      <w:r w:rsidR="00F877BD">
        <w:t xml:space="preserve"> and Kurt Schenk-Joß</w:t>
      </w:r>
      <w:r w:rsidR="0085671D">
        <w:rPr>
          <w:vertAlign w:val="superscript"/>
        </w:rPr>
        <w:t>7</w:t>
      </w:r>
      <w:r w:rsidR="00F877BD">
        <w:t>*</w:t>
      </w:r>
    </w:p>
    <w:p w14:paraId="32EDCD40" w14:textId="4687DFF5" w:rsidR="00F877BD" w:rsidRPr="003D7838" w:rsidRDefault="00F54F0E" w:rsidP="0047784B">
      <w:pPr>
        <w:pStyle w:val="Heading3"/>
      </w:pPr>
      <w:r>
        <w:rPr>
          <w:vertAlign w:val="superscript"/>
        </w:rPr>
        <w:t>1</w:t>
      </w:r>
      <w:r w:rsidRPr="0047784B">
        <w:t>SB-ISIC-XRDSAP, École Polytechnique Fédérale, Lausanne (EPFL), Switzerland,</w:t>
      </w:r>
      <w:r w:rsidRPr="00F54F0E">
        <w:rPr>
          <w:i w:val="0"/>
          <w:iCs/>
        </w:rPr>
        <w:t xml:space="preserve"> </w:t>
      </w:r>
      <w:r>
        <w:rPr>
          <w:vertAlign w:val="superscript"/>
        </w:rPr>
        <w:t>2</w:t>
      </w:r>
      <w:r w:rsidR="00F877BD" w:rsidRPr="0047784B">
        <w:t xml:space="preserve">SANOFI, Rue du </w:t>
      </w:r>
      <w:proofErr w:type="spellStart"/>
      <w:r w:rsidR="00F877BD" w:rsidRPr="0047784B">
        <w:t>Professeur</w:t>
      </w:r>
      <w:proofErr w:type="spellEnd"/>
      <w:r w:rsidR="00F877BD" w:rsidRPr="0047784B">
        <w:t xml:space="preserve"> </w:t>
      </w:r>
      <w:proofErr w:type="spellStart"/>
      <w:r w:rsidR="00F877BD" w:rsidRPr="0047784B">
        <w:t>Blayac</w:t>
      </w:r>
      <w:proofErr w:type="spellEnd"/>
      <w:r w:rsidR="00F877BD" w:rsidRPr="0047784B">
        <w:t xml:space="preserve">, Montpellier, </w:t>
      </w:r>
      <w:r w:rsidR="0047784B" w:rsidRPr="0047784B">
        <w:t>France,</w:t>
      </w:r>
      <w:r w:rsidRPr="00F54F0E">
        <w:rPr>
          <w:i w:val="0"/>
          <w:iCs/>
        </w:rPr>
        <w:t xml:space="preserve"> </w:t>
      </w:r>
      <w:r>
        <w:rPr>
          <w:vertAlign w:val="superscript"/>
        </w:rPr>
        <w:t>3</w:t>
      </w:r>
      <w:r w:rsidR="00F877BD" w:rsidRPr="0047784B">
        <w:t xml:space="preserve">Departement für </w:t>
      </w:r>
      <w:proofErr w:type="spellStart"/>
      <w:r w:rsidR="00F877BD" w:rsidRPr="0047784B">
        <w:t>Chemie</w:t>
      </w:r>
      <w:proofErr w:type="spellEnd"/>
      <w:r w:rsidR="00F877BD" w:rsidRPr="0047784B">
        <w:t xml:space="preserve"> und </w:t>
      </w:r>
      <w:proofErr w:type="spellStart"/>
      <w:r w:rsidR="00F877BD" w:rsidRPr="0047784B">
        <w:t>Biochemie</w:t>
      </w:r>
      <w:proofErr w:type="spellEnd"/>
      <w:r w:rsidR="00F877BD" w:rsidRPr="0047784B">
        <w:t xml:space="preserve">, Universität Bern, </w:t>
      </w:r>
      <w:proofErr w:type="spellStart"/>
      <w:r w:rsidR="00F877BD" w:rsidRPr="0047784B">
        <w:t>Freiestraße</w:t>
      </w:r>
      <w:proofErr w:type="spellEnd"/>
      <w:r w:rsidR="00F877BD" w:rsidRPr="0047784B">
        <w:t xml:space="preserve"> 3, Switzerland</w:t>
      </w:r>
      <w:r w:rsidR="0047784B" w:rsidRPr="0047784B">
        <w:t xml:space="preserve">, </w:t>
      </w:r>
      <w:r w:rsidR="00F877BD" w:rsidRPr="0047784B">
        <w:rPr>
          <w:vertAlign w:val="superscript"/>
        </w:rPr>
        <w:t>4</w:t>
      </w:r>
      <w:r w:rsidR="00F877BD" w:rsidRPr="0047784B">
        <w:t xml:space="preserve">Institut Laue-Langevin, Grenoble, </w:t>
      </w:r>
      <w:r w:rsidR="0047784B" w:rsidRPr="0047784B">
        <w:t xml:space="preserve">France, </w:t>
      </w:r>
      <w:r w:rsidR="008644DB" w:rsidRPr="0047784B">
        <w:rPr>
          <w:vertAlign w:val="superscript"/>
        </w:rPr>
        <w:t>5</w:t>
      </w:r>
      <w:r w:rsidR="008644DB" w:rsidRPr="0047784B">
        <w:t xml:space="preserve">ESRF, Grenoble, </w:t>
      </w:r>
      <w:r w:rsidR="0047784B" w:rsidRPr="0047784B">
        <w:t>France,</w:t>
      </w:r>
      <w:r w:rsidR="0047784B">
        <w:t xml:space="preserve"> </w:t>
      </w:r>
      <w:r w:rsidR="008644DB" w:rsidRPr="0047784B">
        <w:rPr>
          <w:vertAlign w:val="superscript"/>
        </w:rPr>
        <w:t>6</w:t>
      </w:r>
      <w:r w:rsidR="00F877BD" w:rsidRPr="0047784B">
        <w:t>EPFL-STI-IMX-LMOM, Lausanne, Switzerland</w:t>
      </w:r>
      <w:r w:rsidR="0047784B">
        <w:t xml:space="preserve">, </w:t>
      </w:r>
      <w:r w:rsidR="0085671D" w:rsidRPr="003D7838">
        <w:rPr>
          <w:vertAlign w:val="superscript"/>
        </w:rPr>
        <w:t>7</w:t>
      </w:r>
      <w:r w:rsidR="00F877BD" w:rsidRPr="003D7838">
        <w:t>EPFL-SB-PHYS-LQM, Lausanne, Switzerland</w:t>
      </w:r>
    </w:p>
    <w:p w14:paraId="6D8C8FB3" w14:textId="2F814620" w:rsidR="00015493" w:rsidRDefault="00684E3E" w:rsidP="00074D91">
      <w:pPr>
        <w:pStyle w:val="Heading3"/>
        <w:rPr>
          <w:sz w:val="18"/>
          <w:szCs w:val="18"/>
        </w:rPr>
      </w:pPr>
      <w:r>
        <w:t>kurt.</w:t>
      </w:r>
      <w:r w:rsidRPr="00074D91">
        <w:t>schenk</w:t>
      </w:r>
      <w:r>
        <w:t>@epfl.ch</w:t>
      </w:r>
      <w:r>
        <w:rPr>
          <w:lang w:eastAsia="de-DE"/>
        </w:rPr>
        <w:br/>
      </w:r>
    </w:p>
    <w:p w14:paraId="6ADD3209" w14:textId="623924C2" w:rsidR="00015493" w:rsidRDefault="008F1629" w:rsidP="008F1629">
      <w:r w:rsidRPr="008F1629">
        <w:t>Irbesartan is a non-peptide antagonist of the angiotensin-II-AT1 receptor and is used for the treatment of hypertension. Here, the history, achievements and open questions related to irbesartan are examined</w:t>
      </w:r>
      <w:r w:rsidR="00AA19A0">
        <w:t xml:space="preserve"> [1]</w:t>
      </w:r>
      <w:r w:rsidRPr="008F1629">
        <w:t xml:space="preserve">. </w:t>
      </w:r>
      <w:proofErr w:type="spellStart"/>
      <w:r w:rsidRPr="008F1629">
        <w:t>Tautomery</w:t>
      </w:r>
      <w:proofErr w:type="spellEnd"/>
      <w:r w:rsidRPr="008F1629">
        <w:t xml:space="preserve"> of the tetrazole moiety leads to two </w:t>
      </w:r>
      <w:proofErr w:type="spellStart"/>
      <w:r w:rsidRPr="008F1629">
        <w:t>desmotropes</w:t>
      </w:r>
      <w:proofErr w:type="spellEnd"/>
      <w:r w:rsidR="00AA19A0">
        <w:t xml:space="preserve"> [2]</w:t>
      </w:r>
      <w:r w:rsidRPr="008F1629">
        <w:t xml:space="preserve">, A and B. Roughly ten dozen data collections on single crystals at various temperatures, from X-rays and neutrons, are presented, deposited and interpreted; new structures are </w:t>
      </w:r>
      <w:proofErr w:type="gramStart"/>
      <w:r w:rsidRPr="008F1629">
        <w:t>described</w:t>
      </w:r>
      <w:proofErr w:type="gramEnd"/>
      <w:r w:rsidRPr="008F1629">
        <w:t xml:space="preserve"> and a detailed evolution of the thermal expansion is achieved. Disorder of the n-butyl-chains is observed in A and B. The trigonal </w:t>
      </w:r>
      <w:proofErr w:type="spellStart"/>
      <w:r w:rsidRPr="008F1629">
        <w:t>desmotrope</w:t>
      </w:r>
      <w:proofErr w:type="spellEnd"/>
      <w:r w:rsidRPr="008F1629">
        <w:t xml:space="preserve"> A builds its structure incorporating a hydrate channel upon nucleation. The hydrophobic nature of the </w:t>
      </w:r>
      <w:r w:rsidRPr="008F1629">
        <w:rPr>
          <w:i/>
          <w:iCs/>
        </w:rPr>
        <w:t>n</w:t>
      </w:r>
      <w:r w:rsidRPr="008F1629">
        <w:t>-butyl-chains induces the growth of a flat crown of chains in a meta-stable phase, disappearing after the thermally activated creation of a gauche conformer that distorts this wreath to a more prolate shape. This irreversible, conformational transition leads, henceforth, to a different evolution of lattice parameters and thermal expansion; the water inclusion explains the strained, imperfect crystallites, complex solubilities</w:t>
      </w:r>
      <w:r w:rsidR="00AA19A0">
        <w:t xml:space="preserve"> [3]</w:t>
      </w:r>
      <w:r w:rsidRPr="008F1629">
        <w:t xml:space="preserve">, a capricious packing coefficient and slow growth. In the triclinic </w:t>
      </w:r>
      <w:proofErr w:type="spellStart"/>
      <w:r w:rsidRPr="008F1629">
        <w:t>desmotrope</w:t>
      </w:r>
      <w:proofErr w:type="spellEnd"/>
      <w:r w:rsidRPr="008F1629">
        <w:t xml:space="preserve"> B, the all-</w:t>
      </w:r>
      <w:r w:rsidRPr="008F1629">
        <w:rPr>
          <w:i/>
          <w:iCs/>
        </w:rPr>
        <w:t>trans</w:t>
      </w:r>
      <w:r w:rsidRPr="008F1629">
        <w:t xml:space="preserve"> </w:t>
      </w:r>
      <w:r w:rsidRPr="008F1629">
        <w:sym w:font="Symbol" w:char="F0AE"/>
      </w:r>
      <w:r w:rsidRPr="008F1629">
        <w:rPr>
          <w:rFonts w:eastAsia="AdvTT281d44c8+21"/>
        </w:rPr>
        <w:t xml:space="preserve"> </w:t>
      </w:r>
      <w:r w:rsidRPr="008F1629">
        <w:rPr>
          <w:i/>
          <w:iCs/>
        </w:rPr>
        <w:t>gauche</w:t>
      </w:r>
      <w:r w:rsidRPr="008F1629">
        <w:t xml:space="preserve"> disorder in the n-butyl-chain leads to random, diffuse changes in the structure between 265 and 165 K. As confirmed by calorimetry and thermal expansion, these subtle, local re-arrangements do not affect the space group and trigger a reversible, first-order phase transition at 208 K. The neutron study brings desirable clarity regarding the geometry of the tetrazole and its hydrogen, and precious reference values for the weak interactions. Focussing on the tetrazole and the n-butyl-chains, we propose an alternative interpretation of the </w:t>
      </w:r>
      <w:r w:rsidRPr="008F1629">
        <w:rPr>
          <w:vertAlign w:val="superscript"/>
        </w:rPr>
        <w:t>15</w:t>
      </w:r>
      <w:r w:rsidRPr="008F1629">
        <w:t>N NMR spectra</w:t>
      </w:r>
      <w:r w:rsidR="00AA19A0">
        <w:t xml:space="preserve"> [4]</w:t>
      </w:r>
      <w:r w:rsidRPr="008F1629">
        <w:t>, published more than two decades earlier.</w:t>
      </w:r>
    </w:p>
    <w:p w14:paraId="13F94C84" w14:textId="49471C86" w:rsidR="00015493" w:rsidRDefault="00000000">
      <w:pPr>
        <w:jc w:val="center"/>
      </w:pPr>
      <w:r>
        <w:pict w14:anchorId="3D5FC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27" type="#_x0000_t75" style="position:absolute;left:0;text-align:left;margin-left:0;margin-top:0;width:50pt;height:50pt;z-index:1;visibility:hidden">
            <o:lock v:ext="edit" selection="t"/>
          </v:shape>
        </w:pict>
      </w:r>
      <w:r w:rsidR="005D014B">
        <w:rPr>
          <w:noProof/>
        </w:rPr>
        <w:pict w14:anchorId="2F2D940C">
          <v:shape id="Picture 1" o:spid="_x0000_i1025" type="#_x0000_t75" style="width:276pt;height:166.5pt;visibility:visible;mso-wrap-style:square">
            <v:imagedata r:id="rId7" o:title=""/>
          </v:shape>
        </w:pict>
      </w:r>
    </w:p>
    <w:p w14:paraId="59F80F5C" w14:textId="591C7520" w:rsidR="0029316E" w:rsidRDefault="00000000" w:rsidP="00651108">
      <w:pPr>
        <w:pStyle w:val="Heading6"/>
      </w:pPr>
      <w:r>
        <w:rPr>
          <w:b/>
        </w:rPr>
        <w:t>Figure 1</w:t>
      </w:r>
      <w:r>
        <w:t xml:space="preserve">. </w:t>
      </w:r>
      <w:r w:rsidR="0029316E">
        <w:t xml:space="preserve">IRBESARTAN exists as two </w:t>
      </w:r>
      <w:proofErr w:type="spellStart"/>
      <w:r w:rsidR="0029316E">
        <w:t>tautomers</w:t>
      </w:r>
      <w:proofErr w:type="spellEnd"/>
      <w:r w:rsidR="0029316E">
        <w:t xml:space="preserve"> A and B, in diverse solvent-mixtures. Homogeneous nucleation leads to (pseudo)polymorphs with layer-wise or </w:t>
      </w:r>
      <w:r w:rsidR="0029316E" w:rsidRPr="00651108">
        <w:t>columnar</w:t>
      </w:r>
      <w:r w:rsidR="0029316E">
        <w:t xml:space="preserve"> growth.</w:t>
      </w:r>
    </w:p>
    <w:p w14:paraId="5DF93147" w14:textId="1C722300" w:rsidR="00015493" w:rsidRDefault="0029316E" w:rsidP="0029316E">
      <w:pPr>
        <w:pStyle w:val="Heading6"/>
      </w:pPr>
      <w:r>
        <w:t xml:space="preserve">The </w:t>
      </w:r>
      <w:proofErr w:type="spellStart"/>
      <w:r>
        <w:t>desmotropes</w:t>
      </w:r>
      <w:proofErr w:type="spellEnd"/>
      <w:r>
        <w:t xml:space="preserve"> present different habits, thermal expansion, stability and phase transitions.</w:t>
      </w:r>
    </w:p>
    <w:p w14:paraId="0A2B7CE4" w14:textId="77777777" w:rsidR="00115A30" w:rsidRDefault="00115A30" w:rsidP="00115A30"/>
    <w:p w14:paraId="20F4BB85" w14:textId="77777777" w:rsidR="00D43FC2" w:rsidRDefault="00D43FC2" w:rsidP="00115A30"/>
    <w:p w14:paraId="66338F30" w14:textId="7EDAD211" w:rsidR="00D60CB4" w:rsidRPr="00115A30" w:rsidRDefault="00D60CB4" w:rsidP="00D60CB4">
      <w:r w:rsidRPr="00D60CB4">
        <w:rPr>
          <w:sz w:val="18"/>
          <w:szCs w:val="18"/>
        </w:rPr>
        <w:t>References</w:t>
      </w:r>
      <w:r>
        <w:t>:</w:t>
      </w:r>
    </w:p>
    <w:p w14:paraId="6E2D6AE5" w14:textId="3BF65186" w:rsidR="00015493" w:rsidRPr="003D7838" w:rsidRDefault="00000000" w:rsidP="00651108">
      <w:pPr>
        <w:pStyle w:val="Heading4"/>
      </w:pPr>
      <w:r w:rsidRPr="003D7838">
        <w:t xml:space="preserve">[1] </w:t>
      </w:r>
      <w:r w:rsidR="003D7838" w:rsidRPr="003D7838">
        <w:t xml:space="preserve">C. Cazaubon, J. </w:t>
      </w:r>
      <w:proofErr w:type="spellStart"/>
      <w:r w:rsidR="003D7838" w:rsidRPr="003D7838">
        <w:t>Gougat</w:t>
      </w:r>
      <w:proofErr w:type="spellEnd"/>
      <w:r w:rsidR="003D7838" w:rsidRPr="003D7838">
        <w:t xml:space="preserve">, F. Bousquet, P. </w:t>
      </w:r>
      <w:proofErr w:type="spellStart"/>
      <w:r w:rsidR="003D7838" w:rsidRPr="003D7838">
        <w:t>Guiraudou</w:t>
      </w:r>
      <w:proofErr w:type="spellEnd"/>
      <w:r w:rsidR="003D7838" w:rsidRPr="003D7838">
        <w:t xml:space="preserve">, R. </w:t>
      </w:r>
      <w:proofErr w:type="spellStart"/>
      <w:r w:rsidR="003D7838" w:rsidRPr="003D7838">
        <w:t>Gayraud</w:t>
      </w:r>
      <w:proofErr w:type="spellEnd"/>
      <w:r w:rsidR="003D7838" w:rsidRPr="003D7838">
        <w:t xml:space="preserve">, C. Lacour, A. </w:t>
      </w:r>
      <w:proofErr w:type="spellStart"/>
      <w:r w:rsidR="003D7838" w:rsidRPr="003D7838">
        <w:t>Roccon</w:t>
      </w:r>
      <w:proofErr w:type="spellEnd"/>
      <w:r w:rsidR="003D7838" w:rsidRPr="003D7838">
        <w:t xml:space="preserve">, G. Galindo, G. Barthelemy, B. </w:t>
      </w:r>
      <w:proofErr w:type="spellStart"/>
      <w:r w:rsidR="003D7838" w:rsidRPr="003D7838">
        <w:t>Gautret</w:t>
      </w:r>
      <w:proofErr w:type="spellEnd"/>
      <w:r w:rsidR="003D7838" w:rsidRPr="003D7838">
        <w:t xml:space="preserve">, C. Bernhart, P. </w:t>
      </w:r>
      <w:proofErr w:type="spellStart"/>
      <w:r w:rsidR="003D7838" w:rsidRPr="003D7838">
        <w:t>Perreaut</w:t>
      </w:r>
      <w:proofErr w:type="spellEnd"/>
      <w:r w:rsidR="003D7838" w:rsidRPr="003D7838">
        <w:t xml:space="preserve">, J.-C. </w:t>
      </w:r>
      <w:proofErr w:type="spellStart"/>
      <w:r w:rsidR="003D7838" w:rsidRPr="003D7838">
        <w:t>Breliere</w:t>
      </w:r>
      <w:proofErr w:type="spellEnd"/>
      <w:r w:rsidR="003D7838" w:rsidRPr="003D7838">
        <w:t xml:space="preserve">, G. Le Fur and D. </w:t>
      </w:r>
      <w:proofErr w:type="spellStart"/>
      <w:r w:rsidR="003D7838" w:rsidRPr="003D7838">
        <w:t>Nisato</w:t>
      </w:r>
      <w:proofErr w:type="spellEnd"/>
      <w:r w:rsidR="003D7838" w:rsidRPr="003D7838">
        <w:t xml:space="preserve">, J. </w:t>
      </w:r>
      <w:proofErr w:type="spellStart"/>
      <w:r w:rsidR="003D7838" w:rsidRPr="003D7838">
        <w:t>Pharmacol</w:t>
      </w:r>
      <w:proofErr w:type="spellEnd"/>
      <w:r w:rsidR="003D7838" w:rsidRPr="003D7838">
        <w:t xml:space="preserve">. </w:t>
      </w:r>
      <w:r w:rsidR="003D7838" w:rsidRPr="00EF1BCC">
        <w:t>Exp. Ther., 1993, 265(2), 826–834.</w:t>
      </w:r>
    </w:p>
    <w:p w14:paraId="5F6AB559" w14:textId="6AD89FC1" w:rsidR="00015493" w:rsidRDefault="00000000" w:rsidP="00651108">
      <w:pPr>
        <w:pStyle w:val="Heading4"/>
      </w:pPr>
      <w:r w:rsidRPr="00651108">
        <w:t xml:space="preserve">[2] </w:t>
      </w:r>
      <w:r w:rsidR="003D7838">
        <w:t xml:space="preserve">J. </w:t>
      </w:r>
      <w:proofErr w:type="spellStart"/>
      <w:r w:rsidR="003D7838">
        <w:t>Elguero</w:t>
      </w:r>
      <w:proofErr w:type="spellEnd"/>
      <w:r w:rsidR="003D7838">
        <w:t xml:space="preserve">, </w:t>
      </w:r>
      <w:proofErr w:type="spellStart"/>
      <w:r w:rsidR="003D7838">
        <w:t>Cryst</w:t>
      </w:r>
      <w:proofErr w:type="spellEnd"/>
      <w:r w:rsidR="003D7838">
        <w:t>. Growth Des., 2011, 11, 4731–4738.</w:t>
      </w:r>
    </w:p>
    <w:p w14:paraId="1BBBEF60" w14:textId="02350C4A" w:rsidR="00015493" w:rsidRDefault="00000000" w:rsidP="009E735A">
      <w:pPr>
        <w:pStyle w:val="Heading4"/>
        <w:rPr>
          <w:lang w:val="en-US"/>
        </w:rPr>
      </w:pPr>
      <w:r>
        <w:t xml:space="preserve">[3] </w:t>
      </w:r>
      <w:r w:rsidR="003D7838">
        <w:rPr>
          <w:lang w:val="en-US"/>
        </w:rPr>
        <w:t xml:space="preserve">P. </w:t>
      </w:r>
      <w:proofErr w:type="spellStart"/>
      <w:r w:rsidR="003D7838">
        <w:rPr>
          <w:lang w:val="en-US"/>
        </w:rPr>
        <w:t>Taulelle</w:t>
      </w:r>
      <w:proofErr w:type="spellEnd"/>
      <w:r w:rsidR="003D7838">
        <w:rPr>
          <w:lang w:val="en-US"/>
        </w:rPr>
        <w:t xml:space="preserve">, G. </w:t>
      </w:r>
      <w:proofErr w:type="spellStart"/>
      <w:r w:rsidR="003D7838">
        <w:rPr>
          <w:lang w:val="en-US"/>
        </w:rPr>
        <w:t>Sitja</w:t>
      </w:r>
      <w:proofErr w:type="spellEnd"/>
      <w:r w:rsidR="003D7838">
        <w:rPr>
          <w:lang w:val="en-US"/>
        </w:rPr>
        <w:t xml:space="preserve">, G. </w:t>
      </w:r>
      <w:proofErr w:type="spellStart"/>
      <w:r w:rsidR="003D7838">
        <w:rPr>
          <w:lang w:val="en-US"/>
        </w:rPr>
        <w:t>Pépe</w:t>
      </w:r>
      <w:proofErr w:type="spellEnd"/>
      <w:r w:rsidR="003D7838">
        <w:rPr>
          <w:lang w:val="en-US"/>
        </w:rPr>
        <w:t xml:space="preserve">, E. Garcia, C. Hoff and S. </w:t>
      </w:r>
      <w:proofErr w:type="spellStart"/>
      <w:r w:rsidR="003D7838">
        <w:rPr>
          <w:lang w:val="en-US"/>
        </w:rPr>
        <w:t>Veesler</w:t>
      </w:r>
      <w:proofErr w:type="spellEnd"/>
      <w:r w:rsidR="003D7838">
        <w:rPr>
          <w:lang w:val="en-US"/>
        </w:rPr>
        <w:t xml:space="preserve">, </w:t>
      </w:r>
      <w:proofErr w:type="spellStart"/>
      <w:r w:rsidR="003D7838">
        <w:rPr>
          <w:i/>
          <w:iCs/>
          <w:lang w:val="en-US"/>
        </w:rPr>
        <w:t>Cryst</w:t>
      </w:r>
      <w:proofErr w:type="spellEnd"/>
      <w:r w:rsidR="003D7838">
        <w:rPr>
          <w:i/>
          <w:iCs/>
          <w:lang w:val="en-US"/>
        </w:rPr>
        <w:t>. Growth Des.</w:t>
      </w:r>
      <w:r w:rsidR="003D7838">
        <w:rPr>
          <w:lang w:val="en-US"/>
        </w:rPr>
        <w:t xml:space="preserve">, 2009, </w:t>
      </w:r>
      <w:r w:rsidR="003D7838">
        <w:rPr>
          <w:b/>
          <w:lang w:val="en-US"/>
        </w:rPr>
        <w:t>9</w:t>
      </w:r>
      <w:r w:rsidR="003D7838">
        <w:rPr>
          <w:lang w:val="en-US"/>
        </w:rPr>
        <w:t>, 4706–4709.</w:t>
      </w:r>
    </w:p>
    <w:p w14:paraId="738ED7BA" w14:textId="5A99652C" w:rsidR="003D7838" w:rsidRPr="003D7838" w:rsidRDefault="003D7838" w:rsidP="003D7838">
      <w:pPr>
        <w:pStyle w:val="Heading4"/>
      </w:pPr>
      <w:r>
        <w:t xml:space="preserve">[4] </w:t>
      </w:r>
      <w:r>
        <w:rPr>
          <w:lang w:val="en-US"/>
        </w:rPr>
        <w:t xml:space="preserve">M. Bauer, R. K. Harris, R. C. Rao, D. C. Apperley and C. A. </w:t>
      </w:r>
      <w:r>
        <w:t>Rodger, J. Chem. Soc., Perkin Trans. 2, 1998, 475–481.</w:t>
      </w:r>
    </w:p>
    <w:sectPr w:rsidR="003D7838" w:rsidRPr="003D7838">
      <w:headerReference w:type="default" r:id="rId8"/>
      <w:footerReference w:type="default" r:id="rId9"/>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E32EB" w14:textId="77777777" w:rsidR="0095763B" w:rsidRDefault="0095763B">
      <w:pPr>
        <w:spacing w:after="0"/>
      </w:pPr>
      <w:r>
        <w:separator/>
      </w:r>
    </w:p>
  </w:endnote>
  <w:endnote w:type="continuationSeparator" w:id="0">
    <w:p w14:paraId="33C20357" w14:textId="77777777" w:rsidR="0095763B" w:rsidRDefault="009576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dvTT281d44c8+21">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6847" w14:textId="77777777" w:rsidR="00015493" w:rsidRDefault="00000000">
    <w:pPr>
      <w:pStyle w:val="Footer"/>
    </w:pPr>
    <w:r>
      <w:t xml:space="preserve">Acta </w:t>
    </w:r>
    <w:proofErr w:type="spellStart"/>
    <w:r>
      <w:t>Cryst</w:t>
    </w:r>
    <w:proofErr w:type="spellEnd"/>
    <w:r>
      <w:t>. (2025). A81, e1</w:t>
    </w:r>
  </w:p>
  <w:p w14:paraId="3A7A37EC" w14:textId="77777777" w:rsidR="00015493" w:rsidRDefault="00015493">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2263F" w14:textId="77777777" w:rsidR="0095763B" w:rsidRDefault="0095763B">
      <w:pPr>
        <w:spacing w:after="0"/>
      </w:pPr>
      <w:r>
        <w:separator/>
      </w:r>
    </w:p>
  </w:footnote>
  <w:footnote w:type="continuationSeparator" w:id="0">
    <w:p w14:paraId="3E85CA9C" w14:textId="77777777" w:rsidR="0095763B" w:rsidRDefault="009576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92EC1" w14:textId="77777777" w:rsidR="00015493" w:rsidRDefault="00000000">
    <w:pPr>
      <w:tabs>
        <w:tab w:val="center" w:pos="4703"/>
        <w:tab w:val="right" w:pos="9406"/>
      </w:tabs>
    </w:pPr>
    <w:r>
      <w:rPr>
        <w:b/>
        <w:bCs/>
      </w:rPr>
      <w:t>MS</w:t>
    </w:r>
    <w:r>
      <w:tab/>
    </w:r>
    <w:proofErr w:type="spellStart"/>
    <w:r>
      <w:rPr>
        <w:b/>
        <w:bCs/>
      </w:rPr>
      <w:t>Microsymposium</w:t>
    </w:r>
    <w:proofErr w:type="spellEnd"/>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SystemFonts/>
  <w:proofState w:spelling="clean" w:grammar="clean"/>
  <w:doNotTrackMoves/>
  <w:defaultTabStop w:val="720"/>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5493"/>
    <w:rsid w:val="00015493"/>
    <w:rsid w:val="00074D91"/>
    <w:rsid w:val="00115A30"/>
    <w:rsid w:val="001C7089"/>
    <w:rsid w:val="0029316E"/>
    <w:rsid w:val="00350EEE"/>
    <w:rsid w:val="003C1A29"/>
    <w:rsid w:val="003D7838"/>
    <w:rsid w:val="003F61C3"/>
    <w:rsid w:val="004572E8"/>
    <w:rsid w:val="0047784B"/>
    <w:rsid w:val="004C7518"/>
    <w:rsid w:val="004E0352"/>
    <w:rsid w:val="005D014B"/>
    <w:rsid w:val="00646B73"/>
    <w:rsid w:val="00651108"/>
    <w:rsid w:val="00684E3E"/>
    <w:rsid w:val="00715003"/>
    <w:rsid w:val="00716080"/>
    <w:rsid w:val="0078166F"/>
    <w:rsid w:val="007820A9"/>
    <w:rsid w:val="007D336A"/>
    <w:rsid w:val="007E074B"/>
    <w:rsid w:val="0085671D"/>
    <w:rsid w:val="008644DB"/>
    <w:rsid w:val="008858FD"/>
    <w:rsid w:val="008F1629"/>
    <w:rsid w:val="0095763B"/>
    <w:rsid w:val="009638B6"/>
    <w:rsid w:val="009E735A"/>
    <w:rsid w:val="00AA19A0"/>
    <w:rsid w:val="00B01201"/>
    <w:rsid w:val="00BE3333"/>
    <w:rsid w:val="00C70079"/>
    <w:rsid w:val="00D43FC2"/>
    <w:rsid w:val="00D60CB4"/>
    <w:rsid w:val="00D6631E"/>
    <w:rsid w:val="00DD3FDB"/>
    <w:rsid w:val="00F54F0E"/>
    <w:rsid w:val="00F56291"/>
    <w:rsid w:val="00F877BD"/>
    <w:rsid w:val="00FA10BC"/>
    <w:rsid w:val="00FF1DAF"/>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0877212D"/>
  <w14:defaultImageDpi w14:val="32767"/>
  <w15:docId w15:val="{17D2CAD8-836F-422F-98C0-2F322EAC8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75"/>
    <w:pPr>
      <w:suppressAutoHyphens/>
      <w:spacing w:after="120"/>
      <w:jc w:val="both"/>
    </w:pPr>
    <w:rPr>
      <w:lang w:eastAsia="de-DE"/>
    </w:rPr>
  </w:style>
  <w:style w:type="paragraph" w:styleId="Heading1">
    <w:name w:val="heading 1"/>
    <w:basedOn w:val="Normal"/>
    <w:next w:val="Heading2"/>
    <w:link w:val="Heading1Char"/>
    <w:uiPriority w:val="99"/>
    <w:qFormat/>
    <w:rsid w:val="00925275"/>
    <w:pPr>
      <w:keepNext/>
      <w:spacing w:before="240" w:after="60"/>
      <w:jc w:val="center"/>
      <w:outlineLvl w:val="0"/>
    </w:pPr>
    <w:rPr>
      <w:rFonts w:ascii="Arial" w:hAnsi="Arial" w:cs="Arial"/>
      <w:b/>
      <w:bCs/>
      <w:kern w:val="2"/>
      <w:sz w:val="24"/>
      <w:szCs w:val="32"/>
    </w:rPr>
  </w:style>
  <w:style w:type="paragraph" w:styleId="Heading2">
    <w:name w:val="heading 2"/>
    <w:basedOn w:val="Normal"/>
    <w:next w:val="Heading3"/>
    <w:link w:val="Heading2Char"/>
    <w:uiPriority w:val="99"/>
    <w:qFormat/>
    <w:rsid w:val="00925275"/>
    <w:pPr>
      <w:keepNext/>
      <w:spacing w:before="240" w:after="240"/>
      <w:jc w:val="center"/>
      <w:outlineLvl w:val="1"/>
    </w:pPr>
    <w:rPr>
      <w:rFonts w:ascii="Arial" w:hAnsi="Arial" w:cs="Arial"/>
      <w:b/>
      <w:bCs/>
      <w:iCs/>
      <w:szCs w:val="28"/>
    </w:rPr>
  </w:style>
  <w:style w:type="paragraph" w:styleId="Heading3">
    <w:name w:val="heading 3"/>
    <w:basedOn w:val="Normal"/>
    <w:next w:val="Normal"/>
    <w:link w:val="Heading3Char"/>
    <w:uiPriority w:val="99"/>
    <w:qFormat/>
    <w:rsid w:val="002E03DB"/>
    <w:pPr>
      <w:keepNext/>
      <w:jc w:val="center"/>
      <w:outlineLvl w:val="2"/>
    </w:pPr>
    <w:rPr>
      <w:bCs/>
      <w:i/>
      <w:szCs w:val="24"/>
      <w:lang w:eastAsia="cs-CZ"/>
    </w:rPr>
  </w:style>
  <w:style w:type="paragraph" w:styleId="Heading4">
    <w:name w:val="heading 4"/>
    <w:basedOn w:val="Normal"/>
    <w:next w:val="Normal"/>
    <w:link w:val="Heading4Char"/>
    <w:uiPriority w:val="99"/>
    <w:qFormat/>
    <w:rsid w:val="00FF732E"/>
    <w:pPr>
      <w:keepNext/>
      <w:ind w:left="567" w:hanging="567"/>
      <w:outlineLvl w:val="3"/>
    </w:pPr>
    <w:rPr>
      <w:bCs/>
      <w:sz w:val="18"/>
      <w:szCs w:val="24"/>
      <w:lang w:eastAsia="cs-CZ"/>
    </w:rPr>
  </w:style>
  <w:style w:type="paragraph" w:styleId="Heading5">
    <w:name w:val="heading 5"/>
    <w:basedOn w:val="Heading6"/>
    <w:next w:val="Normal"/>
    <w:link w:val="Heading5Char"/>
    <w:uiPriority w:val="9"/>
    <w:unhideWhenUsed/>
    <w:qFormat/>
    <w:rsid w:val="00605A18"/>
    <w:pPr>
      <w:outlineLvl w:val="4"/>
    </w:pPr>
    <w:rPr>
      <w:b/>
    </w:rPr>
  </w:style>
  <w:style w:type="paragraph" w:styleId="Heading6">
    <w:name w:val="heading 6"/>
    <w:basedOn w:val="Normal"/>
    <w:next w:val="Normal"/>
    <w:link w:val="Heading6Char"/>
    <w:uiPriority w:val="9"/>
    <w:unhideWhenUsed/>
    <w:qFormat/>
    <w:rsid w:val="00777DA8"/>
    <w:pPr>
      <w:spacing w:after="60"/>
      <w:jc w:val="center"/>
      <w:outlineLvl w:val="5"/>
    </w:pPr>
    <w:rPr>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925275"/>
    <w:rPr>
      <w:rFonts w:ascii="Arial" w:hAnsi="Arial" w:cs="Arial"/>
      <w:b/>
      <w:bCs/>
      <w:kern w:val="2"/>
      <w:sz w:val="24"/>
      <w:szCs w:val="32"/>
      <w:lang w:val="en-GB" w:eastAsia="de-DE"/>
    </w:rPr>
  </w:style>
  <w:style w:type="character" w:customStyle="1" w:styleId="Heading2Char">
    <w:name w:val="Heading 2 Char"/>
    <w:link w:val="Heading2"/>
    <w:uiPriority w:val="99"/>
    <w:qFormat/>
    <w:locked/>
    <w:rsid w:val="00925275"/>
    <w:rPr>
      <w:rFonts w:ascii="Arial" w:hAnsi="Arial" w:cs="Arial"/>
      <w:b/>
      <w:bCs/>
      <w:iCs/>
      <w:sz w:val="22"/>
      <w:szCs w:val="28"/>
      <w:lang w:val="en-GB" w:eastAsia="de-DE"/>
    </w:rPr>
  </w:style>
  <w:style w:type="character" w:customStyle="1" w:styleId="Heading3Char">
    <w:name w:val="Heading 3 Char"/>
    <w:link w:val="Heading3"/>
    <w:uiPriority w:val="99"/>
    <w:qFormat/>
    <w:locked/>
    <w:rsid w:val="002E03DB"/>
    <w:rPr>
      <w:bCs/>
      <w:i/>
      <w:sz w:val="22"/>
      <w:szCs w:val="24"/>
      <w:lang w:val="en-GB"/>
    </w:rPr>
  </w:style>
  <w:style w:type="character" w:customStyle="1" w:styleId="Heading4Char">
    <w:name w:val="Heading 4 Char"/>
    <w:link w:val="Heading4"/>
    <w:uiPriority w:val="99"/>
    <w:qFormat/>
    <w:locked/>
    <w:rsid w:val="00FF732E"/>
    <w:rPr>
      <w:bCs/>
      <w:sz w:val="18"/>
      <w:szCs w:val="24"/>
      <w:lang w:val="en-GB"/>
    </w:rPr>
  </w:style>
  <w:style w:type="character" w:customStyle="1" w:styleId="HTMLAddressChar">
    <w:name w:val="HTML Address Char"/>
    <w:link w:val="HTMLAddress"/>
    <w:uiPriority w:val="99"/>
    <w:semiHidden/>
    <w:qFormat/>
    <w:rsid w:val="005E6DCD"/>
    <w:rPr>
      <w:i/>
      <w:iCs/>
      <w:lang w:val="de-DE" w:eastAsia="de-DE"/>
    </w:rPr>
  </w:style>
  <w:style w:type="character" w:customStyle="1" w:styleId="Heading5Char">
    <w:name w:val="Heading 5 Char"/>
    <w:link w:val="Heading5"/>
    <w:uiPriority w:val="9"/>
    <w:qFormat/>
    <w:rsid w:val="00605A18"/>
    <w:rPr>
      <w:b/>
      <w:bCs/>
      <w:szCs w:val="22"/>
      <w:lang w:val="en-GB" w:eastAsia="de-DE"/>
    </w:rPr>
  </w:style>
  <w:style w:type="character" w:customStyle="1" w:styleId="Heading6Char">
    <w:name w:val="Heading 6 Char"/>
    <w:link w:val="Heading6"/>
    <w:uiPriority w:val="9"/>
    <w:qFormat/>
    <w:rsid w:val="00777DA8"/>
    <w:rPr>
      <w:rFonts w:eastAsia="Times New Roman" w:cs="Times New Roman"/>
      <w:bCs/>
      <w:szCs w:val="22"/>
      <w:lang w:val="de-DE" w:eastAsia="de-DE"/>
    </w:rPr>
  </w:style>
  <w:style w:type="character" w:customStyle="1" w:styleId="HeaderChar">
    <w:name w:val="Header Char"/>
    <w:link w:val="Header"/>
    <w:uiPriority w:val="99"/>
    <w:qFormat/>
    <w:rsid w:val="00D13351"/>
    <w:rPr>
      <w:lang w:val="en-GB" w:eastAsia="de-DE"/>
    </w:rPr>
  </w:style>
  <w:style w:type="character" w:customStyle="1" w:styleId="FooterChar">
    <w:name w:val="Footer Char"/>
    <w:link w:val="Footer"/>
    <w:uiPriority w:val="99"/>
    <w:qFormat/>
    <w:rsid w:val="00D13351"/>
    <w:rPr>
      <w:lang w:val="en-GB" w:eastAsia="de-DE"/>
    </w:rPr>
  </w:style>
  <w:style w:type="character" w:customStyle="1" w:styleId="BalloonTextChar">
    <w:name w:val="Balloon Text Char"/>
    <w:link w:val="BalloonText"/>
    <w:uiPriority w:val="99"/>
    <w:semiHidden/>
    <w:qFormat/>
    <w:rsid w:val="00C64DBE"/>
    <w:rPr>
      <w:rFonts w:ascii="Tahoma" w:hAnsi="Tahoma" w:cs="Tahoma"/>
      <w:sz w:val="16"/>
      <w:szCs w:val="16"/>
      <w:lang w:val="en-GB" w:eastAsia="de-DE"/>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cknowledgement">
    <w:name w:val="Acknowledgement"/>
    <w:basedOn w:val="Normal"/>
    <w:qFormat/>
    <w:rsid w:val="00777DA8"/>
    <w:rPr>
      <w:i/>
    </w:rPr>
  </w:style>
  <w:style w:type="paragraph" w:styleId="HTMLAddress">
    <w:name w:val="HTML Address"/>
    <w:basedOn w:val="Normal"/>
    <w:link w:val="HTMLAddressChar"/>
    <w:uiPriority w:val="99"/>
    <w:semiHidden/>
    <w:unhideWhenUsed/>
    <w:qFormat/>
    <w:rsid w:val="005E6DCD"/>
    <w:rPr>
      <w:i/>
      <w:i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13351"/>
    <w:pPr>
      <w:tabs>
        <w:tab w:val="center" w:pos="4536"/>
        <w:tab w:val="right" w:pos="9072"/>
      </w:tabs>
    </w:pPr>
  </w:style>
  <w:style w:type="paragraph" w:styleId="Footer">
    <w:name w:val="footer"/>
    <w:basedOn w:val="Normal"/>
    <w:link w:val="FooterChar"/>
    <w:uiPriority w:val="99"/>
    <w:unhideWhenUsed/>
    <w:rsid w:val="00D13351"/>
    <w:pPr>
      <w:tabs>
        <w:tab w:val="center" w:pos="4536"/>
        <w:tab w:val="right" w:pos="9072"/>
      </w:tabs>
    </w:pPr>
  </w:style>
  <w:style w:type="paragraph" w:styleId="BalloonText">
    <w:name w:val="Balloon Text"/>
    <w:basedOn w:val="Normal"/>
    <w:link w:val="BalloonTextChar"/>
    <w:uiPriority w:val="99"/>
    <w:semiHidden/>
    <w:unhideWhenUsed/>
    <w:qFormat/>
    <w:rsid w:val="00C64DBE"/>
    <w:pPr>
      <w:spacing w:after="0"/>
    </w:pPr>
    <w:rPr>
      <w:rFonts w:ascii="Tahoma" w:hAnsi="Tahoma" w:cs="Tahoma"/>
      <w:sz w:val="16"/>
      <w:szCs w:val="16"/>
    </w:rPr>
  </w:style>
  <w:style w:type="table" w:styleId="TableGrid">
    <w:name w:val="Table Grid"/>
    <w:basedOn w:val="TableNormal"/>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Materials Structure</vt:lpstr>
    </vt:vector>
  </TitlesOfParts>
  <Company>MFF UK</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Farzaneh Fadaei Tirani</cp:lastModifiedBy>
  <cp:revision>60</cp:revision>
  <dcterms:created xsi:type="dcterms:W3CDTF">2019-09-04T15:26:00Z</dcterms:created>
  <dcterms:modified xsi:type="dcterms:W3CDTF">2025-04-07T15:40:00Z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