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D6102" w:rsidRPr="00B62722" w:rsidRDefault="00B62722" w:rsidP="00F607E3">
      <w:pPr>
        <w:pStyle w:val="Heading1style"/>
        <w:spacing w:line="360" w:lineRule="auto"/>
        <w:rPr>
          <w:lang w:val="en-US"/>
        </w:rPr>
      </w:pPr>
      <w:r w:rsidRPr="005B2CFC">
        <w:rPr>
          <w:lang w:val="en-US"/>
        </w:rPr>
        <w:t xml:space="preserve">Structural study of methylenetetrahydrofolate reductase from </w:t>
      </w:r>
      <w:r w:rsidRPr="005B2CFC">
        <w:rPr>
          <w:i/>
          <w:lang w:val="en-US"/>
        </w:rPr>
        <w:t>Pseudomonas aeruginosa</w:t>
      </w:r>
      <w:r w:rsidRPr="005B2CFC">
        <w:rPr>
          <w:lang w:val="en-US"/>
        </w:rPr>
        <w:t>.</w:t>
      </w:r>
    </w:p>
    <w:p w:rsidR="005D6102" w:rsidRPr="00754E03" w:rsidRDefault="00B62722" w:rsidP="00F607E3">
      <w:pPr>
        <w:pStyle w:val="Heading2style"/>
        <w:rPr>
          <w:lang w:val="pl-PL"/>
        </w:rPr>
      </w:pPr>
      <w:bookmarkStart w:id="0" w:name="_Hlk196314200"/>
      <w:r w:rsidRPr="00BE3968">
        <w:rPr>
          <w:lang w:val="pl-PL"/>
        </w:rPr>
        <w:t>K. Woźniak</w:t>
      </w:r>
      <w:r w:rsidR="00754E03">
        <w:rPr>
          <w:vertAlign w:val="superscript"/>
          <w:lang w:val="pl-PL"/>
        </w:rPr>
        <w:t>1</w:t>
      </w:r>
      <w:r w:rsidRPr="00BE3968">
        <w:rPr>
          <w:lang w:val="pl-PL"/>
        </w:rPr>
        <w:t>, P.H. Małecki</w:t>
      </w:r>
      <w:r w:rsidR="00754E03">
        <w:rPr>
          <w:vertAlign w:val="superscript"/>
          <w:lang w:val="pl-PL"/>
        </w:rPr>
        <w:t>1</w:t>
      </w:r>
      <w:r w:rsidRPr="00BE3968">
        <w:rPr>
          <w:lang w:val="pl-PL"/>
        </w:rPr>
        <w:t>,  M. Stępniewska</w:t>
      </w:r>
      <w:r w:rsidR="00754E03">
        <w:rPr>
          <w:vertAlign w:val="superscript"/>
          <w:lang w:val="pl-PL"/>
        </w:rPr>
        <w:t>1</w:t>
      </w:r>
      <w:r w:rsidRPr="00BE3968">
        <w:rPr>
          <w:lang w:val="pl-PL"/>
        </w:rPr>
        <w:t>, D. Borek</w:t>
      </w:r>
      <w:r w:rsidR="00754E03">
        <w:rPr>
          <w:vertAlign w:val="superscript"/>
          <w:lang w:val="pl-PL"/>
        </w:rPr>
        <w:t>2</w:t>
      </w:r>
      <w:r w:rsidRPr="00BE3968">
        <w:rPr>
          <w:lang w:val="pl-PL"/>
        </w:rPr>
        <w:t>, K. Brzeziński</w:t>
      </w:r>
      <w:r w:rsidR="00754E03">
        <w:rPr>
          <w:vertAlign w:val="superscript"/>
          <w:lang w:val="pl-PL"/>
        </w:rPr>
        <w:t>1</w:t>
      </w:r>
    </w:p>
    <w:bookmarkEnd w:id="0"/>
    <w:p w:rsidR="005D6102" w:rsidRPr="005D6102" w:rsidRDefault="005D6102" w:rsidP="00F607E3">
      <w:pPr>
        <w:jc w:val="center"/>
        <w:rPr>
          <w:i/>
          <w:iCs/>
          <w:lang w:val="en-US"/>
        </w:rPr>
      </w:pPr>
      <w:r w:rsidRPr="005B2CFC">
        <w:rPr>
          <w:i/>
          <w:iCs/>
          <w:vertAlign w:val="superscript"/>
          <w:lang w:val="en-US"/>
        </w:rPr>
        <w:t>1</w:t>
      </w:r>
      <w:r w:rsidRPr="005B2CFC">
        <w:rPr>
          <w:i/>
          <w:iCs/>
          <w:lang w:val="en-US"/>
        </w:rPr>
        <w:t>Institute of Bioorganic Chemistry Polish Academy of Sciences, Poznan, Poland</w:t>
      </w:r>
      <w:r>
        <w:rPr>
          <w:i/>
          <w:iCs/>
          <w:lang w:val="en-US"/>
        </w:rPr>
        <w:t xml:space="preserve">, </w:t>
      </w:r>
      <w:r w:rsidRPr="005D6102">
        <w:rPr>
          <w:i/>
          <w:iCs/>
          <w:color w:val="000000" w:themeColor="text1"/>
          <w:vertAlign w:val="superscript"/>
          <w:lang w:val="en-US"/>
        </w:rPr>
        <w:t>2</w:t>
      </w:r>
      <w:hyperlink r:id="rId8" w:history="1">
        <w:r w:rsidRPr="005D6102">
          <w:rPr>
            <w:rStyle w:val="Hipercze"/>
            <w:i/>
            <w:iCs/>
            <w:color w:val="000000" w:themeColor="text1"/>
            <w:u w:val="none"/>
            <w:lang w:val="en-US"/>
          </w:rPr>
          <w:t>University of Texas Southwestern Medical Center</w:t>
        </w:r>
      </w:hyperlink>
      <w:r w:rsidRPr="005D6102">
        <w:rPr>
          <w:i/>
          <w:iCs/>
          <w:color w:val="000000" w:themeColor="text1"/>
          <w:lang w:val="en-US"/>
        </w:rPr>
        <w:t>, Dallas, Texas, United States</w:t>
      </w:r>
    </w:p>
    <w:p w:rsidR="00B32F49" w:rsidRPr="00E240A7" w:rsidRDefault="005D6102" w:rsidP="00E240A7">
      <w:pPr>
        <w:spacing w:line="480" w:lineRule="auto"/>
        <w:jc w:val="center"/>
        <w:rPr>
          <w:i/>
          <w:iCs/>
          <w:lang w:val="en-US"/>
        </w:rPr>
      </w:pPr>
      <w:r w:rsidRPr="005B2CFC">
        <w:rPr>
          <w:i/>
          <w:iCs/>
          <w:color w:val="000000" w:themeColor="text1"/>
          <w:lang w:val="en-US"/>
        </w:rPr>
        <w:t xml:space="preserve">Email </w:t>
      </w:r>
      <w:r>
        <w:rPr>
          <w:i/>
          <w:iCs/>
          <w:color w:val="000000" w:themeColor="text1"/>
          <w:lang w:val="en-US"/>
        </w:rPr>
        <w:t>of</w:t>
      </w:r>
      <w:r w:rsidRPr="005B2CFC">
        <w:rPr>
          <w:i/>
          <w:iCs/>
          <w:color w:val="000000" w:themeColor="text1"/>
          <w:lang w:val="en-US"/>
        </w:rPr>
        <w:t xml:space="preserve"> communicati</w:t>
      </w:r>
      <w:r>
        <w:rPr>
          <w:i/>
          <w:iCs/>
          <w:color w:val="000000" w:themeColor="text1"/>
          <w:lang w:val="en-US"/>
        </w:rPr>
        <w:t>ng author</w:t>
      </w:r>
      <w:r w:rsidRPr="005B2CFC">
        <w:rPr>
          <w:i/>
          <w:iCs/>
          <w:color w:val="000000" w:themeColor="text1"/>
          <w:lang w:val="en-US"/>
        </w:rPr>
        <w:t>: kawozniak@ibch.poznan.pl</w:t>
      </w:r>
    </w:p>
    <w:p w:rsidR="00E240A7" w:rsidRDefault="00F607E3" w:rsidP="00E240A7">
      <w:pPr>
        <w:pStyle w:val="Textbody"/>
      </w:pPr>
      <w:r w:rsidRPr="00E240A7">
        <w:t>Methylenetetrahydrofolate reductase (</w:t>
      </w:r>
      <w:proofErr w:type="spellStart"/>
      <w:r w:rsidRPr="00E240A7">
        <w:t>MetF</w:t>
      </w:r>
      <w:proofErr w:type="spellEnd"/>
      <w:r w:rsidRPr="00E240A7">
        <w:t xml:space="preserve">) is an important enzyme that </w:t>
      </w:r>
      <w:proofErr w:type="spellStart"/>
      <w:r w:rsidRPr="00E240A7">
        <w:t>catalyzes</w:t>
      </w:r>
      <w:proofErr w:type="spellEnd"/>
      <w:r w:rsidRPr="00E240A7">
        <w:t xml:space="preserve"> the reduction of 5,10-methylenetetrahydrofolate to 5-methyltetrahydrofolate, which is required for the conversion of L-homocysteine to L-methionine</w:t>
      </w:r>
      <w:r w:rsidR="00E240A7">
        <w:t xml:space="preserve"> [1</w:t>
      </w:r>
      <w:r w:rsidR="00BE3968">
        <w:t>,</w:t>
      </w:r>
      <w:r w:rsidR="00400B0D">
        <w:t xml:space="preserve"> </w:t>
      </w:r>
      <w:r w:rsidR="00BE3968">
        <w:t>2</w:t>
      </w:r>
      <w:r w:rsidR="00E240A7">
        <w:t>]</w:t>
      </w:r>
      <w:r w:rsidRPr="00E240A7">
        <w:t xml:space="preserve">. This process is involved in the regulation of methylation reactions that play a crucial role in bacterial </w:t>
      </w:r>
      <w:proofErr w:type="spellStart"/>
      <w:r w:rsidRPr="00E240A7">
        <w:t>defense</w:t>
      </w:r>
      <w:proofErr w:type="spellEnd"/>
      <w:r w:rsidRPr="00E240A7">
        <w:t xml:space="preserve"> systems and metabolism</w:t>
      </w:r>
      <w:r w:rsidR="00E240A7">
        <w:t xml:space="preserve"> [</w:t>
      </w:r>
      <w:r w:rsidR="004938FA">
        <w:t>3</w:t>
      </w:r>
      <w:r w:rsidR="00E240A7">
        <w:t>]</w:t>
      </w:r>
      <w:r w:rsidRPr="00E240A7">
        <w:t xml:space="preserve">. Inhibition of this enzyme can lead to severe methylation disorders, potentially increasing bacterial susceptibility to antibiotics. As the sensitivity of </w:t>
      </w:r>
      <w:r w:rsidRPr="00E240A7">
        <w:rPr>
          <w:i/>
          <w:iCs/>
        </w:rPr>
        <w:t xml:space="preserve">Pseudomonas aeruginosa </w:t>
      </w:r>
      <w:r w:rsidRPr="00E240A7">
        <w:t>to antibiotics and disinfectants continues to decline, infections caused by this pathogen are becoming increasingly difficult to treat and pose a significant health threat, particularly to immunocompromised patients</w:t>
      </w:r>
      <w:r w:rsidR="00E240A7">
        <w:t xml:space="preserve"> [</w:t>
      </w:r>
      <w:r w:rsidR="00BF6568">
        <w:t>4</w:t>
      </w:r>
      <w:r w:rsidR="00754E03">
        <w:t>]</w:t>
      </w:r>
      <w:r w:rsidRPr="00E240A7">
        <w:t xml:space="preserve">. </w:t>
      </w:r>
    </w:p>
    <w:p w:rsidR="00F607E3" w:rsidRPr="00E240A7" w:rsidRDefault="00F607E3" w:rsidP="00E240A7">
      <w:pPr>
        <w:pStyle w:val="Textbody"/>
      </w:pPr>
      <w:r w:rsidRPr="00E240A7">
        <w:t xml:space="preserve">To address this problem, we undertook structural studies of this enzyme as part of a structure-based drug design approach. The enzyme was expressed in an </w:t>
      </w:r>
      <w:r w:rsidRPr="00C72C2C">
        <w:rPr>
          <w:i/>
          <w:iCs/>
        </w:rPr>
        <w:t>E</w:t>
      </w:r>
      <w:r w:rsidR="00C72C2C">
        <w:rPr>
          <w:i/>
          <w:iCs/>
        </w:rPr>
        <w:t xml:space="preserve">scherichia </w:t>
      </w:r>
      <w:r w:rsidRPr="00C72C2C">
        <w:rPr>
          <w:i/>
          <w:iCs/>
        </w:rPr>
        <w:t>coli</w:t>
      </w:r>
      <w:r w:rsidRPr="00E240A7">
        <w:t xml:space="preserve"> system, purified and crystallized. The initial crystals diffracted X-rays to a resolution of 2.7 Å; however, the crystal structure could not be refined satisfactorily, with R/</w:t>
      </w:r>
      <w:proofErr w:type="spellStart"/>
      <w:r w:rsidRPr="00E240A7">
        <w:t>Rfree</w:t>
      </w:r>
      <w:proofErr w:type="spellEnd"/>
      <w:r w:rsidRPr="00E240A7">
        <w:t xml:space="preserve"> parameters 0.29/0.36. A careful analysis of the diffraction dataset indicated a resolution anisotropy across three directions (ranging from 3.0 to 1.8 Å), as well as significant intensity fluctuations at specific orientations, most probably caused by a crystal slippage. The crystallographic pathologies mentioned above are probable reasons why data processing with XDS </w:t>
      </w:r>
      <w:r w:rsidR="004938FA">
        <w:t>[</w:t>
      </w:r>
      <w:r w:rsidR="00BF6568">
        <w:t>5</w:t>
      </w:r>
      <w:r w:rsidR="004938FA">
        <w:t xml:space="preserve">] </w:t>
      </w:r>
      <w:r w:rsidRPr="00E240A7">
        <w:t xml:space="preserve">did not yield satisfactory results. To overcome problems with diffraction data analysis, the data were processed using HKL software </w:t>
      </w:r>
      <w:r w:rsidR="00BE3968">
        <w:t>[</w:t>
      </w:r>
      <w:r w:rsidR="00BF6568">
        <w:t>6</w:t>
      </w:r>
      <w:r w:rsidR="00BE3968">
        <w:t xml:space="preserve">] </w:t>
      </w:r>
      <w:r w:rsidRPr="00E240A7">
        <w:t>with an automatic correction option. As a result, the final data set was processed to the ultimate resolution of 1.95 Å and allowed to refine the crystal structure to the reasonable R/</w:t>
      </w:r>
      <w:proofErr w:type="spellStart"/>
      <w:r w:rsidRPr="00E240A7">
        <w:t>Rfree</w:t>
      </w:r>
      <w:proofErr w:type="spellEnd"/>
      <w:r w:rsidRPr="00E240A7">
        <w:t xml:space="preserve"> parameters equal to 0.20/0.24, enabling this project to move to the next stage of research - ligand screening.</w:t>
      </w:r>
    </w:p>
    <w:p w:rsidR="00BE3968" w:rsidRPr="00400B0D" w:rsidRDefault="00E240A7" w:rsidP="00BE3968">
      <w:pPr>
        <w:pStyle w:val="Legenda"/>
        <w:rPr>
          <w:szCs w:val="18"/>
          <w:lang w:val="en-US"/>
        </w:rPr>
      </w:pPr>
      <w:r w:rsidRPr="00400B0D">
        <w:rPr>
          <w:szCs w:val="18"/>
        </w:rPr>
        <w:t xml:space="preserve">[1] </w:t>
      </w:r>
      <w:r w:rsidR="00CA5440" w:rsidRPr="00400B0D">
        <w:rPr>
          <w:szCs w:val="18"/>
        </w:rPr>
        <w:t xml:space="preserve">Stover, C. K., Pham, X. Q., Erwin, A. L., Mizoguchi, S. D., Warrener, P., Hickey, M. J., Brinkman, F. S., Hufnagle, W. O., Kowalik, D. J., Lagrou, M., Garber, R. L., Goltry, L., Tolentino, E., Westbrock-Wadman, S., Yuan, Y., Brody, L. L., Coulter, S. N., Folger, K. R., Kas, A., </w:t>
      </w:r>
      <w:proofErr w:type="spellStart"/>
      <w:r w:rsidR="00CA5440" w:rsidRPr="00400B0D">
        <w:rPr>
          <w:szCs w:val="18"/>
        </w:rPr>
        <w:t>Larbig</w:t>
      </w:r>
      <w:proofErr w:type="spellEnd"/>
      <w:r w:rsidR="00CA5440" w:rsidRPr="00400B0D">
        <w:rPr>
          <w:szCs w:val="18"/>
        </w:rPr>
        <w:t>, K.,</w:t>
      </w:r>
      <w:r w:rsidR="00CA5440" w:rsidRPr="00400B0D">
        <w:rPr>
          <w:szCs w:val="18"/>
        </w:rPr>
        <w:t xml:space="preserve"> Lim, R., Smith, D., Spencer, D., Wong, G. K., Wu, Z., Paulsen, I. T., Reizer, J., Saier, M. H., Hancock, R. E., Lory, S., </w:t>
      </w:r>
      <w:r w:rsidR="00CA5440" w:rsidRPr="00400B0D">
        <w:rPr>
          <w:szCs w:val="18"/>
        </w:rPr>
        <w:t xml:space="preserve">Olson, M. V. (2000). </w:t>
      </w:r>
      <w:r w:rsidR="00CA5440" w:rsidRPr="00400B0D">
        <w:rPr>
          <w:i/>
          <w:szCs w:val="18"/>
        </w:rPr>
        <w:t>Nature</w:t>
      </w:r>
      <w:r w:rsidR="00CA5440" w:rsidRPr="00400B0D">
        <w:rPr>
          <w:szCs w:val="18"/>
        </w:rPr>
        <w:t>, </w:t>
      </w:r>
      <w:r w:rsidR="00CA5440" w:rsidRPr="00400B0D">
        <w:rPr>
          <w:iCs w:val="0"/>
          <w:szCs w:val="18"/>
        </w:rPr>
        <w:t>406(6799),</w:t>
      </w:r>
      <w:r w:rsidR="00CA5440" w:rsidRPr="00400B0D">
        <w:rPr>
          <w:szCs w:val="18"/>
        </w:rPr>
        <w:t xml:space="preserve"> 959–964.</w:t>
      </w:r>
    </w:p>
    <w:p w:rsidR="00E240A7" w:rsidRPr="00400B0D" w:rsidRDefault="00BE3968" w:rsidP="00B106CE">
      <w:pPr>
        <w:rPr>
          <w:sz w:val="18"/>
          <w:szCs w:val="18"/>
          <w:lang w:val="en-US"/>
        </w:rPr>
      </w:pPr>
      <w:r w:rsidRPr="00400B0D">
        <w:rPr>
          <w:sz w:val="18"/>
          <w:szCs w:val="18"/>
          <w:lang w:val="en-US"/>
        </w:rPr>
        <w:t>[</w:t>
      </w:r>
      <w:r w:rsidR="004848F6" w:rsidRPr="00400B0D">
        <w:rPr>
          <w:sz w:val="18"/>
          <w:szCs w:val="18"/>
          <w:lang w:val="en-US"/>
        </w:rPr>
        <w:t>2</w:t>
      </w:r>
      <w:r w:rsidRPr="00400B0D">
        <w:rPr>
          <w:sz w:val="18"/>
          <w:szCs w:val="18"/>
          <w:lang w:val="en-US"/>
        </w:rPr>
        <w:t xml:space="preserve">] </w:t>
      </w:r>
      <w:r w:rsidR="00CA5440" w:rsidRPr="00400B0D">
        <w:rPr>
          <w:sz w:val="18"/>
          <w:szCs w:val="18"/>
        </w:rPr>
        <w:t xml:space="preserve">Sheppard, C. A., Trimmer, E. E., &amp; Matthews, R. G. (1999). </w:t>
      </w:r>
      <w:r w:rsidR="00CA5440" w:rsidRPr="00400B0D">
        <w:rPr>
          <w:i/>
          <w:iCs/>
          <w:sz w:val="18"/>
          <w:szCs w:val="18"/>
        </w:rPr>
        <w:t xml:space="preserve">J </w:t>
      </w:r>
      <w:proofErr w:type="spellStart"/>
      <w:r w:rsidR="00CA5440" w:rsidRPr="00400B0D">
        <w:rPr>
          <w:i/>
          <w:iCs/>
          <w:sz w:val="18"/>
          <w:szCs w:val="18"/>
        </w:rPr>
        <w:t>Bacteriol</w:t>
      </w:r>
      <w:proofErr w:type="spellEnd"/>
      <w:r w:rsidR="00CA5440" w:rsidRPr="00400B0D">
        <w:rPr>
          <w:i/>
          <w:iCs/>
          <w:sz w:val="18"/>
          <w:szCs w:val="18"/>
        </w:rPr>
        <w:t>.</w:t>
      </w:r>
      <w:r w:rsidR="00CA5440" w:rsidRPr="00400B0D">
        <w:rPr>
          <w:i/>
          <w:iCs/>
          <w:sz w:val="18"/>
          <w:szCs w:val="18"/>
        </w:rPr>
        <w:t xml:space="preserve"> </w:t>
      </w:r>
      <w:r w:rsidR="00CA5440" w:rsidRPr="00400B0D">
        <w:rPr>
          <w:sz w:val="18"/>
          <w:szCs w:val="18"/>
        </w:rPr>
        <w:t>181(3), 718–725.</w:t>
      </w:r>
    </w:p>
    <w:p w:rsidR="00F524F9" w:rsidRPr="00400B0D" w:rsidRDefault="00F524F9" w:rsidP="00F524F9">
      <w:pPr>
        <w:spacing w:after="160" w:line="259" w:lineRule="auto"/>
        <w:rPr>
          <w:sz w:val="18"/>
          <w:szCs w:val="18"/>
        </w:rPr>
      </w:pPr>
      <w:r w:rsidRPr="00400B0D">
        <w:rPr>
          <w:sz w:val="18"/>
          <w:szCs w:val="18"/>
          <w:lang w:val="en-US"/>
        </w:rPr>
        <w:t>[</w:t>
      </w:r>
      <w:r w:rsidR="00B106CE" w:rsidRPr="00400B0D">
        <w:rPr>
          <w:sz w:val="18"/>
          <w:szCs w:val="18"/>
          <w:lang w:val="en-US"/>
        </w:rPr>
        <w:t>3</w:t>
      </w:r>
      <w:r w:rsidRPr="00400B0D">
        <w:rPr>
          <w:sz w:val="18"/>
          <w:szCs w:val="18"/>
          <w:lang w:val="en-US"/>
        </w:rPr>
        <w:t>]</w:t>
      </w:r>
      <w:r w:rsidRPr="00400B0D">
        <w:rPr>
          <w:sz w:val="18"/>
          <w:szCs w:val="18"/>
        </w:rPr>
        <w:t xml:space="preserve"> </w:t>
      </w:r>
      <w:r w:rsidR="00985B82" w:rsidRPr="00400B0D">
        <w:rPr>
          <w:sz w:val="18"/>
          <w:szCs w:val="18"/>
        </w:rPr>
        <w:t>Huang, J., Chen, F., Lu, B., Sun, Y., Li, Y., Hua, C., &amp; Deng, X. (2025). </w:t>
      </w:r>
      <w:r w:rsidR="00985B82" w:rsidRPr="00400B0D">
        <w:rPr>
          <w:i/>
          <w:iCs/>
          <w:sz w:val="18"/>
          <w:szCs w:val="18"/>
        </w:rPr>
        <w:t>Elife</w:t>
      </w:r>
      <w:r w:rsidR="00985B82" w:rsidRPr="00400B0D">
        <w:rPr>
          <w:sz w:val="18"/>
          <w:szCs w:val="18"/>
        </w:rPr>
        <w:t>. 13:RP96290.</w:t>
      </w:r>
    </w:p>
    <w:p w:rsidR="00E240A7" w:rsidRPr="00400B0D" w:rsidRDefault="00E240A7" w:rsidP="00E240A7">
      <w:pPr>
        <w:pStyle w:val="Legenda"/>
        <w:rPr>
          <w:szCs w:val="18"/>
          <w:lang w:eastAsia="cs-CZ"/>
        </w:rPr>
      </w:pPr>
      <w:r w:rsidRPr="00400B0D">
        <w:rPr>
          <w:szCs w:val="18"/>
          <w:lang w:eastAsia="cs-CZ"/>
        </w:rPr>
        <w:t>[</w:t>
      </w:r>
      <w:r w:rsidR="00B106CE" w:rsidRPr="00400B0D">
        <w:rPr>
          <w:szCs w:val="18"/>
          <w:lang w:eastAsia="cs-CZ"/>
        </w:rPr>
        <w:t>4</w:t>
      </w:r>
      <w:r w:rsidRPr="00400B0D">
        <w:rPr>
          <w:szCs w:val="18"/>
          <w:lang w:eastAsia="cs-CZ"/>
        </w:rPr>
        <w:t>]</w:t>
      </w:r>
      <w:r w:rsidR="00BE3968" w:rsidRPr="00400B0D">
        <w:rPr>
          <w:rFonts w:cs="Times New Roman"/>
          <w:iCs w:val="0"/>
          <w:szCs w:val="18"/>
        </w:rPr>
        <w:t xml:space="preserve"> </w:t>
      </w:r>
      <w:proofErr w:type="spellStart"/>
      <w:r w:rsidR="00985B82" w:rsidRPr="00400B0D">
        <w:rPr>
          <w:szCs w:val="18"/>
          <w:lang w:eastAsia="cs-CZ"/>
        </w:rPr>
        <w:t>Elfadadny</w:t>
      </w:r>
      <w:proofErr w:type="spellEnd"/>
      <w:r w:rsidR="00985B82" w:rsidRPr="00400B0D">
        <w:rPr>
          <w:szCs w:val="18"/>
          <w:lang w:eastAsia="cs-CZ"/>
        </w:rPr>
        <w:t xml:space="preserve">, A., Ragab, R. F., </w:t>
      </w:r>
      <w:proofErr w:type="spellStart"/>
      <w:r w:rsidR="00985B82" w:rsidRPr="00400B0D">
        <w:rPr>
          <w:szCs w:val="18"/>
          <w:lang w:eastAsia="cs-CZ"/>
        </w:rPr>
        <w:t>AlHarbi</w:t>
      </w:r>
      <w:proofErr w:type="spellEnd"/>
      <w:r w:rsidR="00985B82" w:rsidRPr="00400B0D">
        <w:rPr>
          <w:szCs w:val="18"/>
          <w:lang w:eastAsia="cs-CZ"/>
        </w:rPr>
        <w:t xml:space="preserve">, M., Badshah, F., Ibáñez-Arancibia, E., Farag, A., </w:t>
      </w:r>
      <w:proofErr w:type="spellStart"/>
      <w:r w:rsidR="00985B82" w:rsidRPr="00400B0D">
        <w:rPr>
          <w:szCs w:val="18"/>
          <w:lang w:eastAsia="cs-CZ"/>
        </w:rPr>
        <w:t>Hendawy</w:t>
      </w:r>
      <w:proofErr w:type="spellEnd"/>
      <w:r w:rsidR="00985B82" w:rsidRPr="00400B0D">
        <w:rPr>
          <w:szCs w:val="18"/>
          <w:lang w:eastAsia="cs-CZ"/>
        </w:rPr>
        <w:t xml:space="preserve">, A. O., De Los Ríos-Escalante, P. R., </w:t>
      </w:r>
      <w:proofErr w:type="spellStart"/>
      <w:r w:rsidR="00985B82" w:rsidRPr="00400B0D">
        <w:rPr>
          <w:szCs w:val="18"/>
          <w:lang w:eastAsia="cs-CZ"/>
        </w:rPr>
        <w:t>Aboubakr</w:t>
      </w:r>
      <w:proofErr w:type="spellEnd"/>
      <w:r w:rsidR="00985B82" w:rsidRPr="00400B0D">
        <w:rPr>
          <w:szCs w:val="18"/>
          <w:lang w:eastAsia="cs-CZ"/>
        </w:rPr>
        <w:t xml:space="preserve">, M., Zakai, S. A., &amp; </w:t>
      </w:r>
      <w:proofErr w:type="spellStart"/>
      <w:r w:rsidR="00985B82" w:rsidRPr="00400B0D">
        <w:rPr>
          <w:szCs w:val="18"/>
          <w:lang w:eastAsia="cs-CZ"/>
        </w:rPr>
        <w:t>Nageeb</w:t>
      </w:r>
      <w:proofErr w:type="spellEnd"/>
      <w:r w:rsidR="00985B82" w:rsidRPr="00400B0D">
        <w:rPr>
          <w:szCs w:val="18"/>
          <w:lang w:eastAsia="cs-CZ"/>
        </w:rPr>
        <w:t xml:space="preserve">, W. M. (2024). </w:t>
      </w:r>
      <w:r w:rsidR="00985B82" w:rsidRPr="00400B0D">
        <w:rPr>
          <w:i/>
          <w:szCs w:val="18"/>
          <w:lang w:eastAsia="cs-CZ"/>
        </w:rPr>
        <w:t xml:space="preserve">Front </w:t>
      </w:r>
      <w:proofErr w:type="spellStart"/>
      <w:r w:rsidR="00985B82" w:rsidRPr="00400B0D">
        <w:rPr>
          <w:i/>
          <w:szCs w:val="18"/>
          <w:lang w:eastAsia="cs-CZ"/>
        </w:rPr>
        <w:t>Microbiol</w:t>
      </w:r>
      <w:proofErr w:type="spellEnd"/>
      <w:r w:rsidR="00985B82" w:rsidRPr="00400B0D">
        <w:rPr>
          <w:i/>
          <w:szCs w:val="18"/>
          <w:lang w:eastAsia="cs-CZ"/>
        </w:rPr>
        <w:t>.</w:t>
      </w:r>
      <w:r w:rsidR="00985B82" w:rsidRPr="00400B0D">
        <w:rPr>
          <w:szCs w:val="18"/>
          <w:lang w:eastAsia="cs-CZ"/>
        </w:rPr>
        <w:t> </w:t>
      </w:r>
      <w:r w:rsidR="00985B82" w:rsidRPr="00400B0D">
        <w:rPr>
          <w:i/>
          <w:szCs w:val="18"/>
          <w:lang w:eastAsia="cs-CZ"/>
        </w:rPr>
        <w:t>15</w:t>
      </w:r>
      <w:r w:rsidR="00985B82" w:rsidRPr="00400B0D">
        <w:rPr>
          <w:szCs w:val="18"/>
          <w:lang w:eastAsia="cs-CZ"/>
        </w:rPr>
        <w:t>, 1374466.</w:t>
      </w:r>
    </w:p>
    <w:p w:rsidR="00754E03" w:rsidRPr="00400B0D" w:rsidRDefault="004938FA" w:rsidP="00754E03">
      <w:pPr>
        <w:rPr>
          <w:sz w:val="18"/>
          <w:szCs w:val="18"/>
          <w:lang w:eastAsia="cs-CZ"/>
        </w:rPr>
      </w:pPr>
      <w:r w:rsidRPr="00400B0D">
        <w:rPr>
          <w:sz w:val="18"/>
          <w:szCs w:val="18"/>
          <w:lang w:val="en-US" w:eastAsia="cs-CZ"/>
        </w:rPr>
        <w:t>[</w:t>
      </w:r>
      <w:r w:rsidR="00BF6568" w:rsidRPr="00400B0D">
        <w:rPr>
          <w:sz w:val="18"/>
          <w:szCs w:val="18"/>
          <w:lang w:val="en-US" w:eastAsia="cs-CZ"/>
        </w:rPr>
        <w:t>5</w:t>
      </w:r>
      <w:r w:rsidRPr="00400B0D">
        <w:rPr>
          <w:sz w:val="18"/>
          <w:szCs w:val="18"/>
          <w:lang w:val="en-US" w:eastAsia="cs-CZ"/>
        </w:rPr>
        <w:t>]</w:t>
      </w:r>
      <w:r w:rsidR="00754E03" w:rsidRPr="00400B0D">
        <w:rPr>
          <w:sz w:val="18"/>
          <w:szCs w:val="18"/>
          <w:lang w:val="en-US" w:eastAsia="cs-CZ"/>
        </w:rPr>
        <w:t xml:space="preserve"> </w:t>
      </w:r>
      <w:r w:rsidR="00985B82" w:rsidRPr="00400B0D">
        <w:rPr>
          <w:sz w:val="18"/>
          <w:szCs w:val="18"/>
          <w:lang w:eastAsia="cs-CZ"/>
        </w:rPr>
        <w:t xml:space="preserve">Kabsch, </w:t>
      </w:r>
      <w:r w:rsidR="00985B82" w:rsidRPr="00400B0D">
        <w:rPr>
          <w:sz w:val="18"/>
          <w:szCs w:val="18"/>
          <w:lang w:eastAsia="cs-CZ"/>
        </w:rPr>
        <w:t>W. (</w:t>
      </w:r>
      <w:r w:rsidR="00985B82" w:rsidRPr="00400B0D">
        <w:rPr>
          <w:sz w:val="18"/>
          <w:szCs w:val="18"/>
          <w:lang w:eastAsia="cs-CZ"/>
        </w:rPr>
        <w:t>2010</w:t>
      </w:r>
      <w:r w:rsidR="00985B82" w:rsidRPr="00400B0D">
        <w:rPr>
          <w:sz w:val="18"/>
          <w:szCs w:val="18"/>
          <w:lang w:eastAsia="cs-CZ"/>
        </w:rPr>
        <w:t>)</w:t>
      </w:r>
      <w:r w:rsidR="00985B82" w:rsidRPr="00400B0D">
        <w:rPr>
          <w:sz w:val="18"/>
          <w:szCs w:val="18"/>
          <w:lang w:eastAsia="cs-CZ"/>
        </w:rPr>
        <w:t xml:space="preserve"> </w:t>
      </w:r>
      <w:r w:rsidR="00985B82" w:rsidRPr="00400B0D">
        <w:rPr>
          <w:i/>
          <w:iCs/>
          <w:sz w:val="18"/>
          <w:szCs w:val="18"/>
          <w:lang w:eastAsia="cs-CZ"/>
        </w:rPr>
        <w:t xml:space="preserve">Acta </w:t>
      </w:r>
      <w:proofErr w:type="spellStart"/>
      <w:r w:rsidR="00985B82" w:rsidRPr="00400B0D">
        <w:rPr>
          <w:i/>
          <w:iCs/>
          <w:sz w:val="18"/>
          <w:szCs w:val="18"/>
          <w:lang w:eastAsia="cs-CZ"/>
        </w:rPr>
        <w:t>Cryst</w:t>
      </w:r>
      <w:proofErr w:type="spellEnd"/>
      <w:r w:rsidR="00985B82" w:rsidRPr="00400B0D">
        <w:rPr>
          <w:i/>
          <w:iCs/>
          <w:sz w:val="18"/>
          <w:szCs w:val="18"/>
          <w:lang w:eastAsia="cs-CZ"/>
        </w:rPr>
        <w:t>.</w:t>
      </w:r>
      <w:r w:rsidR="00985B82" w:rsidRPr="00400B0D">
        <w:rPr>
          <w:sz w:val="18"/>
          <w:szCs w:val="18"/>
          <w:lang w:eastAsia="cs-CZ"/>
        </w:rPr>
        <w:t xml:space="preserve"> D66, 125–132.</w:t>
      </w:r>
    </w:p>
    <w:p w:rsidR="00400B0D" w:rsidRPr="00400B0D" w:rsidRDefault="00527FEE" w:rsidP="00400B0D">
      <w:pPr>
        <w:pStyle w:val="Textbody"/>
        <w:rPr>
          <w:sz w:val="18"/>
          <w:szCs w:val="18"/>
        </w:rPr>
      </w:pPr>
      <w:r w:rsidRPr="00400B0D">
        <w:rPr>
          <w:sz w:val="18"/>
          <w:szCs w:val="18"/>
          <w:lang w:val="en-US" w:eastAsia="cs-CZ"/>
        </w:rPr>
        <w:t xml:space="preserve">[6] </w:t>
      </w:r>
      <w:proofErr w:type="spellStart"/>
      <w:r w:rsidRPr="00400B0D">
        <w:rPr>
          <w:sz w:val="18"/>
          <w:szCs w:val="18"/>
          <w:lang w:eastAsia="cs-CZ"/>
        </w:rPr>
        <w:t>Otwinowski</w:t>
      </w:r>
      <w:proofErr w:type="spellEnd"/>
      <w:r w:rsidR="00985B82" w:rsidRPr="00400B0D">
        <w:rPr>
          <w:sz w:val="18"/>
          <w:szCs w:val="18"/>
          <w:lang w:eastAsia="cs-CZ"/>
        </w:rPr>
        <w:t>,</w:t>
      </w:r>
      <w:r w:rsidRPr="00400B0D">
        <w:rPr>
          <w:sz w:val="18"/>
          <w:szCs w:val="18"/>
          <w:lang w:eastAsia="cs-CZ"/>
        </w:rPr>
        <w:t xml:space="preserve"> Z</w:t>
      </w:r>
      <w:r w:rsidR="00985B82" w:rsidRPr="00400B0D">
        <w:rPr>
          <w:sz w:val="18"/>
          <w:szCs w:val="18"/>
          <w:lang w:eastAsia="cs-CZ"/>
        </w:rPr>
        <w:t>.</w:t>
      </w:r>
      <w:r w:rsidRPr="00400B0D">
        <w:rPr>
          <w:sz w:val="18"/>
          <w:szCs w:val="18"/>
          <w:lang w:eastAsia="cs-CZ"/>
        </w:rPr>
        <w:t>, Minor</w:t>
      </w:r>
      <w:r w:rsidR="00985B82" w:rsidRPr="00400B0D">
        <w:rPr>
          <w:sz w:val="18"/>
          <w:szCs w:val="18"/>
          <w:lang w:eastAsia="cs-CZ"/>
        </w:rPr>
        <w:t>,</w:t>
      </w:r>
      <w:r w:rsidRPr="00400B0D">
        <w:rPr>
          <w:sz w:val="18"/>
          <w:szCs w:val="18"/>
          <w:lang w:eastAsia="cs-CZ"/>
        </w:rPr>
        <w:t xml:space="preserve"> W. </w:t>
      </w:r>
      <w:r w:rsidR="00985B82" w:rsidRPr="00400B0D">
        <w:rPr>
          <w:sz w:val="18"/>
          <w:szCs w:val="18"/>
          <w:lang w:eastAsia="cs-CZ"/>
        </w:rPr>
        <w:t xml:space="preserve">(1997) </w:t>
      </w:r>
      <w:r w:rsidRPr="00400B0D">
        <w:rPr>
          <w:i/>
          <w:iCs/>
          <w:sz w:val="18"/>
          <w:szCs w:val="18"/>
          <w:lang w:eastAsia="cs-CZ"/>
        </w:rPr>
        <w:t xml:space="preserve">Methods </w:t>
      </w:r>
      <w:proofErr w:type="spellStart"/>
      <w:r w:rsidRPr="00400B0D">
        <w:rPr>
          <w:i/>
          <w:iCs/>
          <w:sz w:val="18"/>
          <w:szCs w:val="18"/>
          <w:lang w:eastAsia="cs-CZ"/>
        </w:rPr>
        <w:t>Enzymol</w:t>
      </w:r>
      <w:proofErr w:type="spellEnd"/>
      <w:r w:rsidRPr="00400B0D">
        <w:rPr>
          <w:i/>
          <w:iCs/>
          <w:sz w:val="18"/>
          <w:szCs w:val="18"/>
          <w:lang w:eastAsia="cs-CZ"/>
        </w:rPr>
        <w:t>.</w:t>
      </w:r>
      <w:r w:rsidR="00985B82" w:rsidRPr="00400B0D">
        <w:rPr>
          <w:sz w:val="18"/>
          <w:szCs w:val="18"/>
          <w:lang w:eastAsia="cs-CZ"/>
        </w:rPr>
        <w:t xml:space="preserve"> </w:t>
      </w:r>
      <w:r w:rsidR="00985B82" w:rsidRPr="00400B0D">
        <w:rPr>
          <w:i/>
          <w:sz w:val="18"/>
          <w:szCs w:val="18"/>
          <w:lang w:eastAsia="cs-CZ"/>
        </w:rPr>
        <w:t>276</w:t>
      </w:r>
      <w:r w:rsidR="00985B82" w:rsidRPr="00400B0D">
        <w:rPr>
          <w:sz w:val="18"/>
          <w:szCs w:val="18"/>
          <w:lang w:eastAsia="cs-CZ"/>
        </w:rPr>
        <w:t>, 307–326</w:t>
      </w:r>
      <w:r w:rsidR="00985B82" w:rsidRPr="00400B0D">
        <w:rPr>
          <w:sz w:val="18"/>
          <w:szCs w:val="18"/>
          <w:lang w:eastAsia="cs-CZ"/>
        </w:rPr>
        <w:t>.</w:t>
      </w:r>
      <w:r w:rsidR="00400B0D" w:rsidRPr="00400B0D">
        <w:rPr>
          <w:sz w:val="18"/>
          <w:szCs w:val="18"/>
        </w:rPr>
        <w:t xml:space="preserve"> </w:t>
      </w:r>
    </w:p>
    <w:p w:rsidR="00400B0D" w:rsidRPr="00BE5844" w:rsidRDefault="00400B0D" w:rsidP="00400B0D">
      <w:pPr>
        <w:pStyle w:val="Textbody"/>
        <w:rPr>
          <w:i/>
          <w:iCs/>
        </w:rPr>
      </w:pPr>
      <w:r w:rsidRPr="00BE5844">
        <w:rPr>
          <w:i/>
          <w:iCs/>
        </w:rPr>
        <w:t>This project is partly supported by the National Science Centre (Poland) grant 2018/30/E/NZ1/00729 to KB</w:t>
      </w:r>
      <w:r w:rsidRPr="00BE5844"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E9619E" wp14:editId="4352E55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722726542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004199" id="_x0000_tole_rId2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Pr="00BE5844">
        <w:rPr>
          <w:i/>
          <w:iCs/>
        </w:rPr>
        <w:t>.</w:t>
      </w:r>
    </w:p>
    <w:p w:rsidR="00B32F49" w:rsidRPr="00CA5440" w:rsidRDefault="00B32F49" w:rsidP="00CA5440">
      <w:pPr>
        <w:pStyle w:val="Legenda"/>
        <w:rPr>
          <w:lang w:val="en-US" w:eastAsia="cs-CZ"/>
        </w:rPr>
      </w:pPr>
    </w:p>
    <w:sectPr w:rsidR="00B32F49" w:rsidRPr="00CA5440">
      <w:headerReference w:type="default" r:id="rId9"/>
      <w:footerReference w:type="default" r:id="rId10"/>
      <w:pgSz w:w="12240" w:h="15840"/>
      <w:pgMar w:top="765" w:right="720" w:bottom="765" w:left="720" w:header="708" w:footer="708" w:gutter="0"/>
      <w:cols w:space="708"/>
      <w:formProt w:val="0"/>
      <w:docGrid w:linePitch="272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67B96" w:rsidRDefault="00467B96">
      <w:pPr>
        <w:spacing w:after="0"/>
      </w:pPr>
      <w:r>
        <w:separator/>
      </w:r>
    </w:p>
  </w:endnote>
  <w:endnote w:type="continuationSeparator" w:id="0">
    <w:p w:rsidR="00467B96" w:rsidRDefault="00467B9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32F49" w:rsidRDefault="00B32F49">
    <w:pPr>
      <w:tabs>
        <w:tab w:val="center" w:pos="4703"/>
        <w:tab w:val="right" w:pos="94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67B96" w:rsidRDefault="00467B96">
      <w:pPr>
        <w:spacing w:after="0"/>
      </w:pPr>
      <w:r>
        <w:separator/>
      </w:r>
    </w:p>
  </w:footnote>
  <w:footnote w:type="continuationSeparator" w:id="0">
    <w:p w:rsidR="00467B96" w:rsidRDefault="00467B9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32F49" w:rsidRDefault="00000000">
    <w:pPr>
      <w:tabs>
        <w:tab w:val="center" w:pos="4703"/>
        <w:tab w:val="right" w:pos="9406"/>
      </w:tabs>
    </w:pPr>
    <w:r>
      <w:rPr>
        <w:b/>
        <w:bCs/>
      </w:rPr>
      <w:t>MS</w:t>
    </w:r>
    <w:r>
      <w:tab/>
    </w:r>
    <w:proofErr w:type="spellStart"/>
    <w:r>
      <w:rPr>
        <w:b/>
        <w:bCs/>
      </w:rPr>
      <w:t>Microsymposium</w:t>
    </w:r>
    <w:proofErr w:type="spellEnd"/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014391"/>
    <w:multiLevelType w:val="multilevel"/>
    <w:tmpl w:val="93CA2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75153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F49"/>
    <w:rsid w:val="001A71AE"/>
    <w:rsid w:val="00240F7F"/>
    <w:rsid w:val="002E6D59"/>
    <w:rsid w:val="00400B0D"/>
    <w:rsid w:val="00467B96"/>
    <w:rsid w:val="004848F6"/>
    <w:rsid w:val="004938FA"/>
    <w:rsid w:val="004A108D"/>
    <w:rsid w:val="00527FEE"/>
    <w:rsid w:val="005D6102"/>
    <w:rsid w:val="006300BA"/>
    <w:rsid w:val="00673879"/>
    <w:rsid w:val="007137B2"/>
    <w:rsid w:val="00754E03"/>
    <w:rsid w:val="008973AB"/>
    <w:rsid w:val="008A7116"/>
    <w:rsid w:val="00925310"/>
    <w:rsid w:val="0093614D"/>
    <w:rsid w:val="00985B82"/>
    <w:rsid w:val="009C154F"/>
    <w:rsid w:val="00B106CE"/>
    <w:rsid w:val="00B32F49"/>
    <w:rsid w:val="00B62722"/>
    <w:rsid w:val="00BE3968"/>
    <w:rsid w:val="00BE5844"/>
    <w:rsid w:val="00BF6568"/>
    <w:rsid w:val="00C72C2C"/>
    <w:rsid w:val="00CA5440"/>
    <w:rsid w:val="00DC7569"/>
    <w:rsid w:val="00E240A7"/>
    <w:rsid w:val="00E35FAA"/>
    <w:rsid w:val="00F1390C"/>
    <w:rsid w:val="00F524F9"/>
    <w:rsid w:val="00F60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6A99F"/>
  <w15:docId w15:val="{86970F89-AFFA-4B83-92F4-6429CA936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5275"/>
    <w:pPr>
      <w:spacing w:after="120"/>
      <w:jc w:val="both"/>
    </w:pPr>
    <w:rPr>
      <w:lang w:eastAsia="de-DE"/>
    </w:rPr>
  </w:style>
  <w:style w:type="paragraph" w:styleId="Nagwek1">
    <w:name w:val="heading 1"/>
    <w:basedOn w:val="Normalny"/>
    <w:next w:val="Nagwek2"/>
    <w:link w:val="Nagwek1Znak"/>
    <w:uiPriority w:val="99"/>
    <w:qFormat/>
    <w:rsid w:val="00925275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2"/>
      <w:sz w:val="24"/>
      <w:szCs w:val="32"/>
    </w:rPr>
  </w:style>
  <w:style w:type="paragraph" w:styleId="Nagwek2">
    <w:name w:val="heading 2"/>
    <w:basedOn w:val="Normalny"/>
    <w:next w:val="Nagwek3"/>
    <w:link w:val="Nagwek2Znak"/>
    <w:uiPriority w:val="99"/>
    <w:qFormat/>
    <w:rsid w:val="00925275"/>
    <w:pPr>
      <w:keepNext/>
      <w:spacing w:before="240" w:after="24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E03DB"/>
    <w:pPr>
      <w:keepNext/>
      <w:jc w:val="center"/>
      <w:outlineLvl w:val="2"/>
    </w:pPr>
    <w:rPr>
      <w:bCs/>
      <w:i/>
      <w:szCs w:val="24"/>
      <w:lang w:eastAsia="cs-CZ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F732E"/>
    <w:pPr>
      <w:keepNext/>
      <w:ind w:left="567" w:hanging="567"/>
      <w:outlineLvl w:val="3"/>
    </w:pPr>
    <w:rPr>
      <w:bCs/>
      <w:sz w:val="18"/>
      <w:szCs w:val="24"/>
      <w:lang w:eastAsia="cs-CZ"/>
    </w:rPr>
  </w:style>
  <w:style w:type="paragraph" w:styleId="Nagwek5">
    <w:name w:val="heading 5"/>
    <w:basedOn w:val="Nagwek6"/>
    <w:next w:val="Normalny"/>
    <w:link w:val="Nagwek5Znak"/>
    <w:uiPriority w:val="9"/>
    <w:unhideWhenUsed/>
    <w:qFormat/>
    <w:rsid w:val="00605A18"/>
    <w:pPr>
      <w:outlineLvl w:val="4"/>
    </w:pPr>
    <w:rPr>
      <w:b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777DA8"/>
    <w:pPr>
      <w:spacing w:after="60"/>
      <w:jc w:val="center"/>
      <w:outlineLvl w:val="5"/>
    </w:pPr>
    <w:rPr>
      <w:bCs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qFormat/>
    <w:locked/>
    <w:rsid w:val="00925275"/>
    <w:rPr>
      <w:rFonts w:ascii="Arial" w:hAnsi="Arial" w:cs="Arial"/>
      <w:b/>
      <w:bCs/>
      <w:kern w:val="2"/>
      <w:sz w:val="24"/>
      <w:szCs w:val="32"/>
      <w:lang w:val="en-GB" w:eastAsia="de-DE"/>
    </w:rPr>
  </w:style>
  <w:style w:type="character" w:customStyle="1" w:styleId="Nagwek2Znak">
    <w:name w:val="Nagłówek 2 Znak"/>
    <w:link w:val="Nagwek2"/>
    <w:uiPriority w:val="99"/>
    <w:qFormat/>
    <w:locked/>
    <w:rsid w:val="00925275"/>
    <w:rPr>
      <w:rFonts w:ascii="Arial" w:hAnsi="Arial" w:cs="Arial"/>
      <w:b/>
      <w:bCs/>
      <w:iCs/>
      <w:sz w:val="22"/>
      <w:szCs w:val="28"/>
      <w:lang w:val="en-GB" w:eastAsia="de-DE"/>
    </w:rPr>
  </w:style>
  <w:style w:type="character" w:customStyle="1" w:styleId="Nagwek3Znak">
    <w:name w:val="Nagłówek 3 Znak"/>
    <w:link w:val="Nagwek3"/>
    <w:uiPriority w:val="99"/>
    <w:qFormat/>
    <w:locked/>
    <w:rsid w:val="002E03DB"/>
    <w:rPr>
      <w:bCs/>
      <w:i/>
      <w:sz w:val="22"/>
      <w:szCs w:val="24"/>
      <w:lang w:val="en-GB"/>
    </w:rPr>
  </w:style>
  <w:style w:type="character" w:customStyle="1" w:styleId="Nagwek4Znak">
    <w:name w:val="Nagłówek 4 Znak"/>
    <w:link w:val="Nagwek4"/>
    <w:uiPriority w:val="99"/>
    <w:qFormat/>
    <w:locked/>
    <w:rsid w:val="00FF732E"/>
    <w:rPr>
      <w:bCs/>
      <w:sz w:val="18"/>
      <w:szCs w:val="24"/>
      <w:lang w:val="en-GB"/>
    </w:rPr>
  </w:style>
  <w:style w:type="character" w:customStyle="1" w:styleId="HTML-adresZnak">
    <w:name w:val="HTML - adres Znak"/>
    <w:link w:val="HTML-adres"/>
    <w:uiPriority w:val="99"/>
    <w:semiHidden/>
    <w:qFormat/>
    <w:rsid w:val="005E6DCD"/>
    <w:rPr>
      <w:i/>
      <w:iCs/>
      <w:lang w:val="de-DE" w:eastAsia="de-DE"/>
    </w:rPr>
  </w:style>
  <w:style w:type="character" w:customStyle="1" w:styleId="Nagwek5Znak">
    <w:name w:val="Nagłówek 5 Znak"/>
    <w:link w:val="Nagwek5"/>
    <w:uiPriority w:val="9"/>
    <w:qFormat/>
    <w:rsid w:val="00605A18"/>
    <w:rPr>
      <w:b/>
      <w:bCs/>
      <w:szCs w:val="22"/>
      <w:lang w:val="en-GB" w:eastAsia="de-DE"/>
    </w:rPr>
  </w:style>
  <w:style w:type="character" w:customStyle="1" w:styleId="Nagwek6Znak">
    <w:name w:val="Nagłówek 6 Znak"/>
    <w:link w:val="Nagwek6"/>
    <w:uiPriority w:val="9"/>
    <w:qFormat/>
    <w:rsid w:val="00777DA8"/>
    <w:rPr>
      <w:rFonts w:eastAsia="Times New Roman" w:cs="Times New Roman"/>
      <w:bCs/>
      <w:szCs w:val="22"/>
      <w:lang w:val="de-DE" w:eastAsia="de-DE"/>
    </w:rPr>
  </w:style>
  <w:style w:type="character" w:customStyle="1" w:styleId="NagwekZnak">
    <w:name w:val="Nagłówek Znak"/>
    <w:link w:val="Nagwek"/>
    <w:uiPriority w:val="99"/>
    <w:qFormat/>
    <w:rsid w:val="00D13351"/>
    <w:rPr>
      <w:lang w:val="en-GB" w:eastAsia="de-DE"/>
    </w:rPr>
  </w:style>
  <w:style w:type="character" w:customStyle="1" w:styleId="StopkaZnak">
    <w:name w:val="Stopka Znak"/>
    <w:link w:val="Stopka"/>
    <w:uiPriority w:val="99"/>
    <w:qFormat/>
    <w:rsid w:val="00D13351"/>
    <w:rPr>
      <w:lang w:val="en-GB" w:eastAsia="de-DE"/>
    </w:rPr>
  </w:style>
  <w:style w:type="character" w:customStyle="1" w:styleId="TekstdymkaZnak">
    <w:name w:val="Tekst dymka Znak"/>
    <w:link w:val="Tekstdymka"/>
    <w:uiPriority w:val="99"/>
    <w:semiHidden/>
    <w:qFormat/>
    <w:rsid w:val="00C64DBE"/>
    <w:rPr>
      <w:rFonts w:ascii="Tahoma" w:hAnsi="Tahoma" w:cs="Tahoma"/>
      <w:sz w:val="16"/>
      <w:szCs w:val="16"/>
      <w:lang w:val="en-GB" w:eastAsia="de-DE"/>
    </w:rPr>
  </w:style>
  <w:style w:type="paragraph" w:customStyle="1" w:styleId="Heading1style">
    <w:name w:val="Heading 1 style"/>
    <w:basedOn w:val="Normalny"/>
    <w:next w:val="Tekstpodstawowy"/>
    <w:qFormat/>
    <w:rsid w:val="00F607E3"/>
    <w:pPr>
      <w:keepNext/>
      <w:spacing w:before="240"/>
      <w:jc w:val="center"/>
    </w:pPr>
    <w:rPr>
      <w:rFonts w:ascii="Arial" w:eastAsia="Noto Sans CJK SC" w:hAnsi="Arial" w:cs="Lohit Devanagari"/>
      <w:b/>
      <w:sz w:val="24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aliases w:val="Heading 4 style"/>
    <w:basedOn w:val="Normalny"/>
    <w:qFormat/>
    <w:rsid w:val="00E240A7"/>
    <w:pPr>
      <w:suppressLineNumbers/>
      <w:spacing w:before="120"/>
    </w:pPr>
    <w:rPr>
      <w:rFonts w:cs="Lohit Devanagari"/>
      <w:iCs/>
      <w:sz w:val="18"/>
      <w:szCs w:val="24"/>
    </w:rPr>
  </w:style>
  <w:style w:type="paragraph" w:customStyle="1" w:styleId="Textbody">
    <w:name w:val="Text body"/>
    <w:basedOn w:val="Normalny"/>
    <w:qFormat/>
    <w:pPr>
      <w:suppressLineNumbers/>
    </w:pPr>
    <w:rPr>
      <w:rFonts w:cs="Lohit Devanagari"/>
    </w:rPr>
  </w:style>
  <w:style w:type="paragraph" w:customStyle="1" w:styleId="Acknowledgement">
    <w:name w:val="Acknowledgement"/>
    <w:basedOn w:val="Normalny"/>
    <w:qFormat/>
    <w:rsid w:val="00777DA8"/>
    <w:rPr>
      <w:i/>
    </w:rPr>
  </w:style>
  <w:style w:type="paragraph" w:styleId="HTML-adres">
    <w:name w:val="HTML Address"/>
    <w:basedOn w:val="Normalny"/>
    <w:link w:val="HTML-adresZnak"/>
    <w:uiPriority w:val="99"/>
    <w:semiHidden/>
    <w:unhideWhenUsed/>
    <w:qFormat/>
    <w:rsid w:val="005E6DCD"/>
    <w:rPr>
      <w:i/>
      <w:iCs/>
    </w:rPr>
  </w:style>
  <w:style w:type="paragraph" w:customStyle="1" w:styleId="Heading2style">
    <w:name w:val="Heading 2 style"/>
    <w:basedOn w:val="Heading1style"/>
    <w:qFormat/>
    <w:rsid w:val="00F607E3"/>
    <w:pPr>
      <w:spacing w:before="120" w:after="240"/>
    </w:pPr>
    <w:rPr>
      <w:sz w:val="22"/>
    </w:rPr>
  </w:style>
  <w:style w:type="paragraph" w:styleId="Nagwek">
    <w:name w:val="header"/>
    <w:basedOn w:val="Normalny"/>
    <w:link w:val="NagwekZnak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64DBE"/>
    <w:pPr>
      <w:spacing w:after="0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C26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D610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139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9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8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85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2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.google.pl/citations?view_op=view_org&amp;hl=pl&amp;org=302471966581840172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21E0AE-6DDE-4FDB-AD25-D0DA1D2E6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501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Materials Structure</vt:lpstr>
    </vt:vector>
  </TitlesOfParts>
  <Company>MFF UK</Company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Materials Structure</dc:title>
  <dc:subject/>
  <dc:creator>Uživatel systému Windows</dc:creator>
  <dc:description/>
  <cp:lastModifiedBy>Katarzyna Woźniak</cp:lastModifiedBy>
  <cp:revision>6</cp:revision>
  <dcterms:created xsi:type="dcterms:W3CDTF">2025-04-23T13:25:00Z</dcterms:created>
  <dcterms:modified xsi:type="dcterms:W3CDTF">2025-04-28T16:35:00Z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