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52365" w14:textId="355AD16F" w:rsidR="00586ABA" w:rsidRDefault="00177782">
      <w:pPr>
        <w:pStyle w:val="Nagwek1"/>
      </w:pPr>
      <w:r w:rsidRPr="003C6F58">
        <w:rPr>
          <w:lang w:val="en-US"/>
        </w:rPr>
        <w:t>Supramolecular confinement of antibacterial agent w</w:t>
      </w:r>
      <w:r>
        <w:rPr>
          <w:lang w:val="en-US"/>
        </w:rPr>
        <w:t>ithin macrocyclic hosts: a structural study</w:t>
      </w:r>
    </w:p>
    <w:p w14:paraId="4CDBE283" w14:textId="61A26516" w:rsidR="00586ABA" w:rsidRDefault="00177782">
      <w:pPr>
        <w:pStyle w:val="Nagwek2"/>
      </w:pPr>
      <w:r>
        <w:t>O</w:t>
      </w:r>
      <w:r w:rsidR="0072341A">
        <w:t xml:space="preserve">. </w:t>
      </w:r>
      <w:r>
        <w:t>Danylyuk</w:t>
      </w:r>
      <w:r w:rsidR="0072341A">
        <w:rPr>
          <w:vertAlign w:val="superscript"/>
        </w:rPr>
        <w:t>1</w:t>
      </w:r>
      <w:r w:rsidR="0072341A">
        <w:t xml:space="preserve">, </w:t>
      </w:r>
      <w:r>
        <w:t>K</w:t>
      </w:r>
      <w:r w:rsidR="0072341A">
        <w:t xml:space="preserve">. </w:t>
      </w:r>
      <w:r>
        <w:t>Kravets</w:t>
      </w:r>
      <w:r w:rsidR="0072341A">
        <w:rPr>
          <w:vertAlign w:val="superscript"/>
        </w:rPr>
        <w:t>1</w:t>
      </w:r>
    </w:p>
    <w:p w14:paraId="2A8D8924" w14:textId="19865120" w:rsidR="00586ABA" w:rsidRDefault="0072341A">
      <w:pPr>
        <w:pStyle w:val="Nagwek3"/>
      </w:pPr>
      <w:r>
        <w:rPr>
          <w:vertAlign w:val="superscript"/>
        </w:rPr>
        <w:t>1</w:t>
      </w:r>
      <w:r w:rsidR="00D57DC2">
        <w:t>Institute of Physical Chemistry, Polish Academy of Sciences, Kasprzaka 44/52, 01-224 Warsaw, Poland</w:t>
      </w:r>
    </w:p>
    <w:p w14:paraId="12D303D8" w14:textId="50E2EA01" w:rsidR="00586ABA" w:rsidRDefault="00177782">
      <w:pPr>
        <w:pStyle w:val="Nagwek3"/>
        <w:rPr>
          <w:sz w:val="18"/>
          <w:szCs w:val="18"/>
        </w:rPr>
      </w:pPr>
      <w:r>
        <w:t>odanylyuk</w:t>
      </w:r>
      <w:r w:rsidR="0072341A">
        <w:t>@</w:t>
      </w:r>
      <w:r>
        <w:t>ichf</w:t>
      </w:r>
      <w:r w:rsidR="0072341A">
        <w:t>.</w:t>
      </w:r>
      <w:r>
        <w:t>edu.pl</w:t>
      </w:r>
      <w:r w:rsidR="0072341A">
        <w:rPr>
          <w:lang w:eastAsia="de-DE"/>
        </w:rPr>
        <w:br/>
      </w:r>
    </w:p>
    <w:p w14:paraId="596D3742" w14:textId="7EE4D324" w:rsidR="00586ABA" w:rsidRDefault="00D041B7">
      <w:r>
        <w:rPr>
          <w:rFonts w:cstheme="minorHAnsi"/>
          <w:lang w:val="en-US"/>
        </w:rPr>
        <w:t>The</w:t>
      </w:r>
      <w:r w:rsidRPr="00335C90">
        <w:rPr>
          <w:rFonts w:cstheme="minorHAnsi"/>
          <w:lang w:val="en-US"/>
        </w:rPr>
        <w:t xml:space="preserve"> host-guest complexes </w:t>
      </w:r>
      <w:r>
        <w:rPr>
          <w:rFonts w:cstheme="minorHAnsi"/>
          <w:lang w:val="en-US"/>
        </w:rPr>
        <w:t xml:space="preserve">formed by non-covalent interactions </w:t>
      </w:r>
      <w:r w:rsidRPr="00335C90">
        <w:rPr>
          <w:rFonts w:cstheme="minorHAnsi"/>
          <w:lang w:val="en-US"/>
        </w:rPr>
        <w:t xml:space="preserve">are promising </w:t>
      </w:r>
      <w:r>
        <w:rPr>
          <w:rFonts w:cstheme="minorHAnsi"/>
          <w:lang w:val="en-US"/>
        </w:rPr>
        <w:t>design elements</w:t>
      </w:r>
      <w:r w:rsidRPr="00335C90">
        <w:rPr>
          <w:rFonts w:cstheme="minorHAnsi"/>
          <w:lang w:val="en-US"/>
        </w:rPr>
        <w:t xml:space="preserve"> for supramolecular </w:t>
      </w:r>
      <w:r>
        <w:rPr>
          <w:rFonts w:cstheme="minorHAnsi"/>
          <w:lang w:val="en-US"/>
        </w:rPr>
        <w:t xml:space="preserve">architectures of </w:t>
      </w:r>
      <w:r w:rsidRPr="00335C90">
        <w:rPr>
          <w:rFonts w:cstheme="minorHAnsi"/>
          <w:color w:val="151515"/>
          <w:shd w:val="clear" w:color="auto" w:fill="FFFFFF"/>
          <w:lang w:val="en-US"/>
        </w:rPr>
        <w:t xml:space="preserve">biomedical applications, </w:t>
      </w:r>
      <w:r>
        <w:rPr>
          <w:rFonts w:cstheme="minorHAnsi"/>
          <w:color w:val="151515"/>
          <w:shd w:val="clear" w:color="auto" w:fill="FFFFFF"/>
          <w:lang w:val="en-US"/>
        </w:rPr>
        <w:t>including</w:t>
      </w:r>
      <w:r w:rsidRPr="00335C90">
        <w:rPr>
          <w:rFonts w:cstheme="minorHAnsi"/>
          <w:color w:val="151515"/>
          <w:shd w:val="clear" w:color="auto" w:fill="FFFFFF"/>
          <w:lang w:val="en-US"/>
        </w:rPr>
        <w:t xml:space="preserve"> </w:t>
      </w:r>
      <w:r>
        <w:rPr>
          <w:rFonts w:cstheme="minorHAnsi"/>
          <w:color w:val="151515"/>
          <w:shd w:val="clear" w:color="auto" w:fill="FFFFFF"/>
          <w:lang w:val="en-US"/>
        </w:rPr>
        <w:t>anti</w:t>
      </w:r>
      <w:r w:rsidRPr="00335C90">
        <w:rPr>
          <w:rFonts w:cstheme="minorHAnsi"/>
          <w:color w:val="151515"/>
          <w:shd w:val="clear" w:color="auto" w:fill="FFFFFF"/>
          <w:lang w:val="en-US"/>
        </w:rPr>
        <w:t xml:space="preserve">bacterial </w:t>
      </w:r>
      <w:r>
        <w:rPr>
          <w:rFonts w:cstheme="minorHAnsi"/>
          <w:color w:val="151515"/>
          <w:shd w:val="clear" w:color="auto" w:fill="FFFFFF"/>
          <w:lang w:val="en-US"/>
        </w:rPr>
        <w:t>treatments</w:t>
      </w:r>
      <w:r w:rsidR="00D33C47">
        <w:rPr>
          <w:rFonts w:cstheme="minorHAnsi"/>
          <w:color w:val="151515"/>
          <w:shd w:val="clear" w:color="auto" w:fill="FFFFFF"/>
          <w:lang w:val="en-US"/>
        </w:rPr>
        <w:t xml:space="preserve"> [1]</w:t>
      </w:r>
      <w:r>
        <w:rPr>
          <w:rFonts w:cstheme="minorHAnsi"/>
          <w:color w:val="151515"/>
          <w:shd w:val="clear" w:color="auto" w:fill="FFFFFF"/>
          <w:lang w:val="en-US"/>
        </w:rPr>
        <w:t xml:space="preserve">. The demanding properties of such supramolecular materials are </w:t>
      </w:r>
      <w:r w:rsidRPr="00E23C23">
        <w:rPr>
          <w:rFonts w:cstheme="minorHAnsi"/>
          <w:color w:val="151515"/>
          <w:shd w:val="clear" w:color="auto" w:fill="FFFFFF"/>
          <w:lang w:val="en-US"/>
        </w:rPr>
        <w:t>bacteria inhibiti</w:t>
      </w:r>
      <w:r>
        <w:rPr>
          <w:rFonts w:cstheme="minorHAnsi"/>
          <w:color w:val="151515"/>
          <w:shd w:val="clear" w:color="auto" w:fill="FFFFFF"/>
          <w:lang w:val="en-US"/>
        </w:rPr>
        <w:t>on</w:t>
      </w:r>
      <w:r w:rsidRPr="00E23C23">
        <w:rPr>
          <w:rFonts w:cstheme="minorHAnsi"/>
          <w:color w:val="151515"/>
          <w:shd w:val="clear" w:color="auto" w:fill="FFFFFF"/>
          <w:lang w:val="en-US"/>
        </w:rPr>
        <w:t>, eradicati</w:t>
      </w:r>
      <w:r>
        <w:rPr>
          <w:rFonts w:cstheme="minorHAnsi"/>
          <w:color w:val="151515"/>
          <w:shd w:val="clear" w:color="auto" w:fill="FFFFFF"/>
          <w:lang w:val="en-US"/>
        </w:rPr>
        <w:t>on of</w:t>
      </w:r>
      <w:r w:rsidRPr="00E23C23">
        <w:rPr>
          <w:rFonts w:cstheme="minorHAnsi"/>
          <w:color w:val="151515"/>
          <w:shd w:val="clear" w:color="auto" w:fill="FFFFFF"/>
          <w:lang w:val="en-US"/>
        </w:rPr>
        <w:t xml:space="preserve"> biofilms, combating bacterial</w:t>
      </w:r>
      <w:r>
        <w:rPr>
          <w:rFonts w:cstheme="minorHAnsi"/>
          <w:color w:val="151515"/>
          <w:shd w:val="clear" w:color="auto" w:fill="FFFFFF"/>
          <w:lang w:val="en-US"/>
        </w:rPr>
        <w:t xml:space="preserve"> </w:t>
      </w:r>
      <w:r w:rsidRPr="00E23C23">
        <w:rPr>
          <w:rFonts w:cstheme="minorHAnsi"/>
          <w:color w:val="151515"/>
          <w:shd w:val="clear" w:color="auto" w:fill="FFFFFF"/>
          <w:lang w:val="en-US"/>
        </w:rPr>
        <w:t>resistanc</w:t>
      </w:r>
      <w:r>
        <w:rPr>
          <w:rFonts w:cstheme="minorHAnsi"/>
          <w:color w:val="151515"/>
          <w:shd w:val="clear" w:color="auto" w:fill="FFFFFF"/>
          <w:lang w:val="en-US"/>
        </w:rPr>
        <w:t xml:space="preserve">e, and others. The initial reports suggest that macrocycle-based supramolecular materials can supplement traditional drugs and overcome their limitations in the fight against </w:t>
      </w:r>
      <w:r w:rsidRPr="00975D18">
        <w:rPr>
          <w:rFonts w:cstheme="minorHAnsi"/>
          <w:color w:val="151515"/>
          <w:shd w:val="clear" w:color="auto" w:fill="FFFFFF"/>
          <w:lang w:val="en-US"/>
        </w:rPr>
        <w:t>antimicrobial resistanc</w:t>
      </w:r>
      <w:r>
        <w:rPr>
          <w:rFonts w:cstheme="minorHAnsi"/>
          <w:color w:val="151515"/>
          <w:shd w:val="clear" w:color="auto" w:fill="FFFFFF"/>
          <w:lang w:val="en-US"/>
        </w:rPr>
        <w:t>e. The supramolecular hosts of versatile structures, functionalities and host-guest properties have received increased attention as candidates for</w:t>
      </w:r>
      <w:r w:rsidRPr="00664E21">
        <w:rPr>
          <w:lang w:val="en-US"/>
        </w:rPr>
        <w:t xml:space="preserve"> </w:t>
      </w:r>
      <w:r w:rsidRPr="00664E21">
        <w:rPr>
          <w:rFonts w:cstheme="minorHAnsi"/>
          <w:color w:val="151515"/>
          <w:shd w:val="clear" w:color="auto" w:fill="FFFFFF"/>
          <w:lang w:val="en-US"/>
        </w:rPr>
        <w:t>macrocycle-based</w:t>
      </w:r>
      <w:r>
        <w:rPr>
          <w:rFonts w:cstheme="minorHAnsi"/>
          <w:color w:val="151515"/>
          <w:shd w:val="clear" w:color="auto" w:fill="FFFFFF"/>
          <w:lang w:val="en-US"/>
        </w:rPr>
        <w:t xml:space="preserve"> </w:t>
      </w:r>
      <w:r w:rsidRPr="00664E21">
        <w:rPr>
          <w:rFonts w:cstheme="minorHAnsi"/>
          <w:color w:val="151515"/>
          <w:shd w:val="clear" w:color="auto" w:fill="FFFFFF"/>
          <w:lang w:val="en-US"/>
        </w:rPr>
        <w:t>antimicrobial platforms</w:t>
      </w:r>
      <w:r w:rsidR="00D33C47">
        <w:rPr>
          <w:rFonts w:cstheme="minorHAnsi"/>
          <w:color w:val="151515"/>
          <w:shd w:val="clear" w:color="auto" w:fill="FFFFFF"/>
          <w:lang w:val="en-US"/>
        </w:rPr>
        <w:t xml:space="preserve"> </w:t>
      </w:r>
      <w:r w:rsidR="00D33C47">
        <w:rPr>
          <w:rFonts w:cstheme="minorHAnsi"/>
          <w:color w:val="151515"/>
          <w:shd w:val="clear" w:color="auto" w:fill="FFFFFF"/>
          <w:lang w:val="en-US"/>
        </w:rPr>
        <w:t>[2]</w:t>
      </w:r>
      <w:r>
        <w:rPr>
          <w:rFonts w:cstheme="minorHAnsi"/>
          <w:color w:val="151515"/>
          <w:shd w:val="clear" w:color="auto" w:fill="FFFFFF"/>
          <w:lang w:val="en-US"/>
        </w:rPr>
        <w:t xml:space="preserve">. </w:t>
      </w:r>
      <w:r>
        <w:rPr>
          <w:lang w:val="en-US"/>
        </w:rPr>
        <w:t xml:space="preserve">The structural insight into the host-guest complexes comprising </w:t>
      </w:r>
      <w:r w:rsidRPr="003C6F58">
        <w:rPr>
          <w:lang w:val="en-US"/>
        </w:rPr>
        <w:t>antibacterial agents</w:t>
      </w:r>
      <w:r>
        <w:rPr>
          <w:lang w:val="en-US"/>
        </w:rPr>
        <w:t xml:space="preserve"> would be beneficial in terms of their potential supramolecular formulations and/or crystal forms. Here we discuss crystallization and crystal structure of antimicrobial drug chlorhexidine </w:t>
      </w:r>
      <w:r w:rsidR="00A714A1">
        <w:rPr>
          <w:lang w:val="en-US"/>
        </w:rPr>
        <w:t xml:space="preserve">complexes </w:t>
      </w:r>
      <w:r>
        <w:rPr>
          <w:lang w:val="en-US"/>
        </w:rPr>
        <w:t>with macrocyclic hosts of cucurbit[</w:t>
      </w:r>
      <w:r w:rsidRPr="006D0AAA">
        <w:rPr>
          <w:i/>
          <w:iCs/>
          <w:lang w:val="en-US"/>
        </w:rPr>
        <w:t>n</w:t>
      </w:r>
      <w:r>
        <w:rPr>
          <w:lang w:val="en-US"/>
        </w:rPr>
        <w:t xml:space="preserve">]uril and </w:t>
      </w:r>
      <w:r w:rsidRPr="0070118B">
        <w:rPr>
          <w:i/>
          <w:iCs/>
          <w:lang w:val="en-US"/>
        </w:rPr>
        <w:t>p</w:t>
      </w:r>
      <w:r>
        <w:rPr>
          <w:lang w:val="en-US"/>
        </w:rPr>
        <w:t>-sulfonato-calix[</w:t>
      </w:r>
      <w:r w:rsidRPr="006D0AAA">
        <w:rPr>
          <w:i/>
          <w:iCs/>
          <w:lang w:val="en-US"/>
        </w:rPr>
        <w:t>n</w:t>
      </w:r>
      <w:r>
        <w:rPr>
          <w:lang w:val="en-US"/>
        </w:rPr>
        <w:t>]arene families</w:t>
      </w:r>
      <w:r>
        <w:rPr>
          <w:lang w:val="en-US"/>
        </w:rPr>
        <w:t xml:space="preserve">, Fig. 1. </w:t>
      </w:r>
    </w:p>
    <w:p w14:paraId="4DEDC687" w14:textId="6E710A76" w:rsidR="00586ABA" w:rsidRDefault="001777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3DD996" wp14:editId="525C81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7E292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" filled="f" stroked="f">
                <o:lock v:ext="edit" aspectratio="t" selection="t"/>
              </v:rect>
            </w:pict>
          </mc:Fallback>
        </mc:AlternateContent>
      </w:r>
      <w:r w:rsidR="00D041B7">
        <w:rPr>
          <w:noProof/>
        </w:rPr>
        <w:drawing>
          <wp:inline distT="0" distB="0" distL="0" distR="0" wp14:anchorId="01AB4622" wp14:editId="22AE442B">
            <wp:extent cx="2412746" cy="2886892"/>
            <wp:effectExtent l="0" t="0" r="698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634" cy="29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03EF" w14:textId="6D2B89B4" w:rsidR="00586ABA" w:rsidRDefault="0072341A">
      <w:pPr>
        <w:pStyle w:val="Nagwek6"/>
      </w:pPr>
      <w:r>
        <w:rPr>
          <w:b/>
        </w:rPr>
        <w:t>Figure 1</w:t>
      </w:r>
      <w:r>
        <w:t>.</w:t>
      </w:r>
      <w:r>
        <w:t xml:space="preserve"> </w:t>
      </w:r>
      <w:r w:rsidR="00D041B7" w:rsidRPr="001A1F36">
        <w:rPr>
          <w:lang w:val="en-US"/>
        </w:rPr>
        <w:t xml:space="preserve">Host-guest complex of </w:t>
      </w:r>
      <w:r w:rsidR="00D041B7" w:rsidRPr="00D33C47">
        <w:rPr>
          <w:i/>
          <w:iCs/>
          <w:lang w:val="en-US"/>
        </w:rPr>
        <w:t>p</w:t>
      </w:r>
      <w:r w:rsidR="00D041B7" w:rsidRPr="001A1F36">
        <w:rPr>
          <w:lang w:val="en-US"/>
        </w:rPr>
        <w:t xml:space="preserve">-sulfonato-calix[4]arene with chlorhexidine: A) side view; B) top view. Two crystallographically non-equivalent chlorhexidine molecules colored in blue and pink. </w:t>
      </w:r>
      <w:r w:rsidR="00D041B7" w:rsidRPr="000F5B3F">
        <w:rPr>
          <w:lang w:val="en-US"/>
        </w:rPr>
        <w:t>Water molecules in cyan</w:t>
      </w:r>
      <w:r w:rsidR="00D041B7">
        <w:rPr>
          <w:lang w:val="en-US"/>
        </w:rPr>
        <w:t>.</w:t>
      </w:r>
    </w:p>
    <w:p w14:paraId="5431A7F6" w14:textId="77777777" w:rsidR="00586ABA" w:rsidRDefault="00586ABA">
      <w:pPr>
        <w:rPr>
          <w:lang w:eastAsia="cs-CZ"/>
        </w:rPr>
      </w:pPr>
    </w:p>
    <w:p w14:paraId="10A585BA" w14:textId="1F5885C0" w:rsidR="00586ABA" w:rsidRDefault="0072341A">
      <w:pPr>
        <w:pStyle w:val="Nagwek4"/>
        <w:rPr>
          <w:rStyle w:val="cit-pagerange"/>
          <w:color w:val="151515"/>
          <w:szCs w:val="18"/>
          <w:shd w:val="clear" w:color="auto" w:fill="FFFFFF"/>
          <w:lang w:val="en-US"/>
        </w:rPr>
      </w:pPr>
      <w:r w:rsidRPr="00D33C47">
        <w:rPr>
          <w:lang w:val="pl-PL"/>
        </w:rPr>
        <w:t>[</w:t>
      </w:r>
      <w:r w:rsidR="00A3181B">
        <w:rPr>
          <w:lang w:val="pl-PL"/>
        </w:rPr>
        <w:t>1</w:t>
      </w:r>
      <w:r w:rsidRPr="00D33C47">
        <w:rPr>
          <w:lang w:val="pl-PL"/>
        </w:rPr>
        <w:t xml:space="preserve">] </w:t>
      </w:r>
      <w:r w:rsidR="00D33C47" w:rsidRPr="00D33C47">
        <w:rPr>
          <w:lang w:val="pl-PL"/>
        </w:rPr>
        <w:t>Wang</w:t>
      </w:r>
      <w:r w:rsidR="00D33C47" w:rsidRPr="00D33C47">
        <w:rPr>
          <w:lang w:val="pl-PL"/>
        </w:rPr>
        <w:t>, X.</w:t>
      </w:r>
      <w:r w:rsidR="00D33C47" w:rsidRPr="00D33C47">
        <w:rPr>
          <w:lang w:val="pl-PL"/>
        </w:rPr>
        <w:t>, Ma</w:t>
      </w:r>
      <w:r w:rsidR="00D33C47" w:rsidRPr="00D33C47">
        <w:rPr>
          <w:lang w:val="pl-PL"/>
        </w:rPr>
        <w:t>, L.</w:t>
      </w:r>
      <w:r w:rsidR="00D33C47" w:rsidRPr="00D33C47">
        <w:rPr>
          <w:lang w:val="pl-PL"/>
        </w:rPr>
        <w:t>, Li,</w:t>
      </w:r>
      <w:r w:rsidR="00D33C47" w:rsidRPr="00D33C47">
        <w:rPr>
          <w:lang w:val="pl-PL"/>
        </w:rPr>
        <w:t xml:space="preserve"> C.,</w:t>
      </w:r>
      <w:r w:rsidR="00D33C47" w:rsidRPr="00D33C47">
        <w:rPr>
          <w:lang w:val="pl-PL"/>
        </w:rPr>
        <w:t xml:space="preserve"> Yang</w:t>
      </w:r>
      <w:r w:rsidR="00D33C47" w:rsidRPr="00D33C47">
        <w:rPr>
          <w:lang w:val="pl-PL"/>
        </w:rPr>
        <w:t>, Y.-W</w:t>
      </w:r>
      <w:r w:rsidR="00D33C47" w:rsidRPr="00D33C47">
        <w:rPr>
          <w:lang w:val="pl-PL"/>
        </w:rPr>
        <w:t xml:space="preserve">. </w:t>
      </w:r>
      <w:r w:rsidR="00D33C47" w:rsidRPr="00D33C47">
        <w:rPr>
          <w:lang w:val="pl-PL"/>
        </w:rPr>
        <w:t xml:space="preserve">(2024). </w:t>
      </w:r>
      <w:r w:rsidR="00D33C47" w:rsidRPr="00D33C47">
        <w:rPr>
          <w:rStyle w:val="cit-title"/>
          <w:i/>
          <w:iCs/>
          <w:color w:val="151515"/>
          <w:szCs w:val="18"/>
          <w:shd w:val="clear" w:color="auto" w:fill="FFFFFF"/>
          <w:lang w:val="en-US"/>
        </w:rPr>
        <w:t>Chem. Mater</w:t>
      </w:r>
      <w:r w:rsidR="00D33C47" w:rsidRPr="00D33C47">
        <w:rPr>
          <w:rStyle w:val="cit-title"/>
          <w:i/>
          <w:iCs/>
          <w:color w:val="151515"/>
          <w:szCs w:val="18"/>
          <w:shd w:val="clear" w:color="auto" w:fill="FFFFFF"/>
          <w:lang w:val="en-US"/>
        </w:rPr>
        <w:t xml:space="preserve">. </w:t>
      </w:r>
      <w:r w:rsidR="00D33C47" w:rsidRPr="00D33C47">
        <w:rPr>
          <w:rStyle w:val="cit-volume"/>
          <w:b/>
          <w:bCs w:val="0"/>
          <w:color w:val="151515"/>
          <w:szCs w:val="18"/>
          <w:shd w:val="clear" w:color="auto" w:fill="FFFFFF"/>
          <w:lang w:val="en-US"/>
        </w:rPr>
        <w:t>36</w:t>
      </w:r>
      <w:r w:rsidR="00D33C47" w:rsidRPr="00D33C47">
        <w:rPr>
          <w:rStyle w:val="cit-issue"/>
          <w:color w:val="151515"/>
          <w:szCs w:val="18"/>
          <w:shd w:val="clear" w:color="auto" w:fill="FFFFFF"/>
          <w:lang w:val="en-US"/>
        </w:rPr>
        <w:t>, 5</w:t>
      </w:r>
      <w:r w:rsidR="00D33C47" w:rsidRPr="00D33C47">
        <w:rPr>
          <w:rStyle w:val="cit-pagerange"/>
          <w:color w:val="151515"/>
          <w:szCs w:val="18"/>
          <w:shd w:val="clear" w:color="auto" w:fill="FFFFFF"/>
          <w:lang w:val="en-US"/>
        </w:rPr>
        <w:t>, 2177</w:t>
      </w:r>
      <w:r w:rsidR="00D33C47">
        <w:rPr>
          <w:rStyle w:val="cit-pagerange"/>
          <w:color w:val="151515"/>
          <w:szCs w:val="18"/>
          <w:shd w:val="clear" w:color="auto" w:fill="FFFFFF"/>
          <w:lang w:val="en-US"/>
        </w:rPr>
        <w:t>.</w:t>
      </w:r>
    </w:p>
    <w:p w14:paraId="66C87471" w14:textId="08EA827C" w:rsidR="00A3181B" w:rsidRPr="00A3181B" w:rsidRDefault="00A3181B" w:rsidP="00A3181B">
      <w:pPr>
        <w:pStyle w:val="Nagwek4"/>
        <w:ind w:left="0" w:firstLine="0"/>
        <w:rPr>
          <w:szCs w:val="18"/>
        </w:rPr>
      </w:pPr>
      <w:r>
        <w:t>[</w:t>
      </w:r>
      <w:r>
        <w:t>2</w:t>
      </w:r>
      <w:r>
        <w:t>]</w:t>
      </w:r>
      <w:r w:rsidRPr="00A3181B">
        <w:rPr>
          <w:rStyle w:val="Lista"/>
          <w:rFonts w:ascii="Roboto" w:hAnsi="Roboto"/>
          <w:color w:val="151515"/>
          <w:sz w:val="21"/>
          <w:szCs w:val="21"/>
          <w:shd w:val="clear" w:color="auto" w:fill="FFFFFF"/>
          <w:lang w:val="en-US"/>
        </w:rPr>
        <w:t xml:space="preserve">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Panigrahi, S. D.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Mayhan, C. M.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Dar, A. A.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Kelley, S. P.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Greenwood, A. I.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Hassett, D. J.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Deakyne, C. A.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string-name"/>
          <w:color w:val="151515"/>
          <w:szCs w:val="18"/>
          <w:shd w:val="clear" w:color="auto" w:fill="FFFFFF"/>
          <w:lang w:val="en-US"/>
        </w:rPr>
        <w:t>Kumari, H</w:t>
      </w:r>
      <w:r>
        <w:rPr>
          <w:rStyle w:val="nlmstring-name"/>
          <w:color w:val="151515"/>
          <w:szCs w:val="18"/>
          <w:shd w:val="clear" w:color="auto" w:fill="FFFFFF"/>
          <w:lang w:val="en-US"/>
        </w:rPr>
        <w:t xml:space="preserve">. (2023). </w:t>
      </w:r>
      <w:r w:rsidRPr="00A3181B">
        <w:rPr>
          <w:i/>
          <w:iCs/>
          <w:color w:val="151515"/>
          <w:szCs w:val="18"/>
          <w:shd w:val="clear" w:color="auto" w:fill="FFFFFF"/>
          <w:lang w:val="en-US"/>
        </w:rPr>
        <w:t>Cryst. Growth Des.</w:t>
      </w:r>
      <w:r>
        <w:rPr>
          <w:color w:val="151515"/>
          <w:szCs w:val="18"/>
          <w:shd w:val="clear" w:color="auto" w:fill="FFFFFF"/>
          <w:lang w:val="en-US"/>
        </w:rPr>
        <w:t xml:space="preserve"> </w:t>
      </w:r>
      <w:r w:rsidRPr="00A3181B">
        <w:rPr>
          <w:rStyle w:val="nlmvolume"/>
          <w:b/>
          <w:bCs w:val="0"/>
          <w:color w:val="151515"/>
          <w:szCs w:val="18"/>
          <w:shd w:val="clear" w:color="auto" w:fill="FFFFFF"/>
          <w:lang w:val="en-US"/>
        </w:rPr>
        <w:t>23</w:t>
      </w:r>
      <w:r>
        <w:rPr>
          <w:color w:val="151515"/>
          <w:szCs w:val="18"/>
          <w:shd w:val="clear" w:color="auto" w:fill="FFFFFF"/>
          <w:lang w:val="en-US"/>
        </w:rPr>
        <w:t xml:space="preserve">, </w:t>
      </w:r>
      <w:r w:rsidRPr="00A3181B">
        <w:rPr>
          <w:rStyle w:val="nlmissue"/>
          <w:color w:val="151515"/>
          <w:szCs w:val="18"/>
          <w:shd w:val="clear" w:color="auto" w:fill="FFFFFF"/>
          <w:lang w:val="en-US"/>
        </w:rPr>
        <w:t>3</w:t>
      </w:r>
      <w:r w:rsidRPr="00A3181B">
        <w:rPr>
          <w:color w:val="151515"/>
          <w:szCs w:val="18"/>
          <w:shd w:val="clear" w:color="auto" w:fill="FFFFFF"/>
          <w:lang w:val="en-US"/>
        </w:rPr>
        <w:t>,</w:t>
      </w:r>
      <w:r>
        <w:rPr>
          <w:color w:val="151515"/>
          <w:szCs w:val="18"/>
          <w:shd w:val="clear" w:color="auto" w:fill="FFFFFF"/>
          <w:lang w:val="en-US"/>
        </w:rPr>
        <w:t xml:space="preserve"> </w:t>
      </w:r>
      <w:r w:rsidRPr="00A3181B">
        <w:rPr>
          <w:rStyle w:val="nlmfpage"/>
          <w:color w:val="151515"/>
          <w:szCs w:val="18"/>
          <w:shd w:val="clear" w:color="auto" w:fill="FFFFFF"/>
          <w:lang w:val="en-US"/>
        </w:rPr>
        <w:t>1378</w:t>
      </w:r>
      <w:r w:rsidRPr="00A3181B">
        <w:rPr>
          <w:szCs w:val="18"/>
        </w:rPr>
        <w:t>.</w:t>
      </w:r>
    </w:p>
    <w:p w14:paraId="7A0FB7B2" w14:textId="77777777" w:rsidR="00A3181B" w:rsidRPr="00A3181B" w:rsidRDefault="00A3181B" w:rsidP="00A3181B">
      <w:pPr>
        <w:rPr>
          <w:sz w:val="18"/>
          <w:szCs w:val="18"/>
          <w:lang w:val="en-US" w:eastAsia="cs-CZ"/>
        </w:rPr>
      </w:pPr>
    </w:p>
    <w:p w14:paraId="0645FE6A" w14:textId="2AD9FBCA" w:rsidR="00586ABA" w:rsidRDefault="00D041B7">
      <w:pPr>
        <w:pStyle w:val="Acknowledgement"/>
      </w:pPr>
      <w:r w:rsidRPr="00360AA1">
        <w:rPr>
          <w:lang w:val="en-US"/>
        </w:rPr>
        <w:t>The authors thank the Polish National Science Center for financial support (</w:t>
      </w:r>
      <w:r>
        <w:rPr>
          <w:lang w:val="en-US"/>
        </w:rPr>
        <w:t>OPUS</w:t>
      </w:r>
      <w:r w:rsidRPr="00360AA1">
        <w:rPr>
          <w:lang w:val="en-US"/>
        </w:rPr>
        <w:t xml:space="preserve"> grant UMO-</w:t>
      </w:r>
      <w:r w:rsidR="0029433B">
        <w:rPr>
          <w:lang w:val="en-US"/>
        </w:rPr>
        <w:t>2023/49/B/ST5/01472)</w:t>
      </w:r>
    </w:p>
    <w:sectPr w:rsidR="00586ABA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08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1D10C" w14:textId="77777777" w:rsidR="0072341A" w:rsidRDefault="0072341A">
      <w:pPr>
        <w:spacing w:after="0"/>
      </w:pPr>
      <w:r>
        <w:separator/>
      </w:r>
    </w:p>
  </w:endnote>
  <w:endnote w:type="continuationSeparator" w:id="0">
    <w:p w14:paraId="2E31B6DD" w14:textId="77777777" w:rsidR="0072341A" w:rsidRDefault="007234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F0CD9" w14:textId="77777777" w:rsidR="00586ABA" w:rsidRDefault="0072341A">
    <w:pPr>
      <w:pStyle w:val="Stopka"/>
    </w:pPr>
    <w:r>
      <w:t>Acta Cryst. (2025). A81, e1</w:t>
    </w:r>
  </w:p>
  <w:p w14:paraId="2FFCC8C2" w14:textId="77777777" w:rsidR="00586ABA" w:rsidRDefault="00586ABA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5A025" w14:textId="77777777" w:rsidR="0072341A" w:rsidRDefault="0072341A">
      <w:pPr>
        <w:spacing w:after="0"/>
      </w:pPr>
      <w:r>
        <w:separator/>
      </w:r>
    </w:p>
  </w:footnote>
  <w:footnote w:type="continuationSeparator" w:id="0">
    <w:p w14:paraId="3DEA8304" w14:textId="77777777" w:rsidR="0072341A" w:rsidRDefault="007234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522C7" w14:textId="77777777" w:rsidR="00586ABA" w:rsidRDefault="0072341A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r>
      <w:rPr>
        <w:b/>
        <w:bCs/>
      </w:rPr>
      <w:t>Microsymposium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BA"/>
    <w:rsid w:val="001572E2"/>
    <w:rsid w:val="00177782"/>
    <w:rsid w:val="0029433B"/>
    <w:rsid w:val="00586ABA"/>
    <w:rsid w:val="0072341A"/>
    <w:rsid w:val="00A3181B"/>
    <w:rsid w:val="00A714A1"/>
    <w:rsid w:val="00D041B7"/>
    <w:rsid w:val="00D33C47"/>
    <w:rsid w:val="00D5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127E"/>
  <w15:docId w15:val="{24ECE357-2BE8-4595-8752-97B4B40B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75"/>
    <w:pPr>
      <w:spacing w:after="120"/>
      <w:jc w:val="both"/>
    </w:pPr>
    <w:rPr>
      <w:lang w:eastAsia="de-DE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Nagwek2">
    <w:name w:val="heading 2"/>
    <w:basedOn w:val="Normalny"/>
    <w:next w:val="Nagwek3"/>
    <w:link w:val="Nagwek2Znak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Nagwek5">
    <w:name w:val="heading 5"/>
    <w:basedOn w:val="Nagwek6"/>
    <w:next w:val="Normalny"/>
    <w:link w:val="Nagwek5Znak"/>
    <w:uiPriority w:val="9"/>
    <w:unhideWhenUsed/>
    <w:qFormat/>
    <w:rsid w:val="00605A18"/>
    <w:pPr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Nagwek2Znak">
    <w:name w:val="Nagłówek 2 Znak"/>
    <w:link w:val="Nagwek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Nagwek3Znak">
    <w:name w:val="Nagłówek 3 Znak"/>
    <w:link w:val="Nagwek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Nagwek4Znak">
    <w:name w:val="Nagłówek 4 Znak"/>
    <w:link w:val="Nagwek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-adresZnak">
    <w:name w:val="HTML - adres Znak"/>
    <w:link w:val="HTML-adres"/>
    <w:uiPriority w:val="99"/>
    <w:semiHidden/>
    <w:qFormat/>
    <w:rsid w:val="005E6DCD"/>
    <w:rPr>
      <w:i/>
      <w:iCs/>
      <w:lang w:val="de-DE" w:eastAsia="de-DE"/>
    </w:rPr>
  </w:style>
  <w:style w:type="character" w:customStyle="1" w:styleId="Nagwek5Znak">
    <w:name w:val="Nagłówek 5 Znak"/>
    <w:link w:val="Nagwek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Nagwek6Znak">
    <w:name w:val="Nagłówek 6 Znak"/>
    <w:link w:val="Nagwek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NagwekZnak">
    <w:name w:val="Nagłówek Znak"/>
    <w:link w:val="Nagwek"/>
    <w:uiPriority w:val="99"/>
    <w:qFormat/>
    <w:rsid w:val="00D13351"/>
    <w:rPr>
      <w:lang w:val="en-GB" w:eastAsia="de-DE"/>
    </w:rPr>
  </w:style>
  <w:style w:type="character" w:customStyle="1" w:styleId="StopkaZnak">
    <w:name w:val="Stopka Znak"/>
    <w:link w:val="Stopka"/>
    <w:uiPriority w:val="99"/>
    <w:qFormat/>
    <w:rsid w:val="00D13351"/>
    <w:rPr>
      <w:lang w:val="en-GB" w:eastAsia="de-DE"/>
    </w:rPr>
  </w:style>
  <w:style w:type="character" w:customStyle="1" w:styleId="TekstdymkaZnak">
    <w:name w:val="Tekst dymka Znak"/>
    <w:link w:val="Tekstdymka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ny"/>
    <w:qFormat/>
    <w:rsid w:val="00777DA8"/>
    <w:rPr>
      <w:i/>
    </w:rPr>
  </w:style>
  <w:style w:type="paragraph" w:styleId="HTML-adres">
    <w:name w:val="HTML Address"/>
    <w:basedOn w:val="Normalny"/>
    <w:link w:val="HTML-adresZnak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-title">
    <w:name w:val="cit-title"/>
    <w:basedOn w:val="Domylnaczcionkaakapitu"/>
    <w:rsid w:val="00D33C47"/>
  </w:style>
  <w:style w:type="character" w:customStyle="1" w:styleId="cit-year-info">
    <w:name w:val="cit-year-info"/>
    <w:basedOn w:val="Domylnaczcionkaakapitu"/>
    <w:rsid w:val="00D33C47"/>
  </w:style>
  <w:style w:type="character" w:customStyle="1" w:styleId="cit-volume">
    <w:name w:val="cit-volume"/>
    <w:basedOn w:val="Domylnaczcionkaakapitu"/>
    <w:rsid w:val="00D33C47"/>
  </w:style>
  <w:style w:type="character" w:customStyle="1" w:styleId="cit-issue">
    <w:name w:val="cit-issue"/>
    <w:basedOn w:val="Domylnaczcionkaakapitu"/>
    <w:rsid w:val="00D33C47"/>
  </w:style>
  <w:style w:type="character" w:customStyle="1" w:styleId="cit-pagerange">
    <w:name w:val="cit-pagerange"/>
    <w:basedOn w:val="Domylnaczcionkaakapitu"/>
    <w:rsid w:val="00D33C47"/>
  </w:style>
  <w:style w:type="character" w:customStyle="1" w:styleId="nlmstring-name">
    <w:name w:val="nlm_string-name"/>
    <w:basedOn w:val="Domylnaczcionkaakapitu"/>
    <w:rsid w:val="00A3181B"/>
  </w:style>
  <w:style w:type="character" w:customStyle="1" w:styleId="nlmarticle-title">
    <w:name w:val="nlm_article-title"/>
    <w:basedOn w:val="Domylnaczcionkaakapitu"/>
    <w:rsid w:val="00A3181B"/>
  </w:style>
  <w:style w:type="character" w:customStyle="1" w:styleId="nlmyear">
    <w:name w:val="nlm_year"/>
    <w:basedOn w:val="Domylnaczcionkaakapitu"/>
    <w:rsid w:val="00A3181B"/>
  </w:style>
  <w:style w:type="character" w:customStyle="1" w:styleId="nlmvolume">
    <w:name w:val="nlm_volume"/>
    <w:basedOn w:val="Domylnaczcionkaakapitu"/>
    <w:rsid w:val="00A3181B"/>
  </w:style>
  <w:style w:type="character" w:customStyle="1" w:styleId="nlmfpage">
    <w:name w:val="nlm_fpage"/>
    <w:basedOn w:val="Domylnaczcionkaakapitu"/>
    <w:rsid w:val="00A3181B"/>
  </w:style>
  <w:style w:type="character" w:customStyle="1" w:styleId="nlmissue">
    <w:name w:val="nlm_issue"/>
    <w:basedOn w:val="Domylnaczcionkaakapitu"/>
    <w:rsid w:val="00A3181B"/>
  </w:style>
  <w:style w:type="character" w:customStyle="1" w:styleId="nlmlpage">
    <w:name w:val="nlm_lpage"/>
    <w:basedOn w:val="Domylnaczcionkaakapitu"/>
    <w:rsid w:val="00A31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273</Words>
  <Characters>1644</Characters>
  <Application>Microsoft Office Word</Application>
  <DocSecurity>0</DocSecurity>
  <Lines>13</Lines>
  <Paragraphs>3</Paragraphs>
  <ScaleCrop>false</ScaleCrop>
  <Company>MFF UK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Oksana Danylyuk</cp:lastModifiedBy>
  <cp:revision>11</cp:revision>
  <dcterms:created xsi:type="dcterms:W3CDTF">2025-05-08T10:11:00Z</dcterms:created>
  <dcterms:modified xsi:type="dcterms:W3CDTF">2025-05-08T10:45:00Z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