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Structure, function and regulation of NAD kinases</w:t>
      </w:r>
    </w:p>
    <w:p>
      <w:pPr>
        <w:pStyle w:val="Heading2"/>
        <w:rPr/>
      </w:pPr>
      <w:r>
        <w:rPr>
          <w:sz w:val="22"/>
          <w:szCs w:val="22"/>
        </w:rPr>
        <w:t>G. Labesse</w:t>
      </w:r>
      <w:r>
        <w:rPr>
          <w:sz w:val="22"/>
          <w:szCs w:val="22"/>
          <w:vertAlign w:val="superscript"/>
        </w:rPr>
        <w:t>1</w:t>
      </w:r>
      <w:r>
        <w:rPr>
          <w:sz w:val="22"/>
          <w:szCs w:val="22"/>
        </w:rPr>
        <w:t xml:space="preserve">, </w:t>
      </w:r>
      <w:r>
        <w:rPr>
          <w:sz w:val="22"/>
          <w:szCs w:val="22"/>
        </w:rPr>
        <w:t>M</w:t>
      </w:r>
      <w:r>
        <w:rPr>
          <w:sz w:val="22"/>
          <w:szCs w:val="22"/>
        </w:rPr>
        <w:t xml:space="preserve">. </w:t>
      </w:r>
      <w:r>
        <w:rPr>
          <w:sz w:val="22"/>
          <w:szCs w:val="22"/>
        </w:rPr>
        <w:t>Gelin</w:t>
      </w:r>
      <w:r>
        <w:rPr>
          <w:sz w:val="22"/>
          <w:szCs w:val="22"/>
          <w:vertAlign w:val="superscript"/>
        </w:rPr>
        <w:t>1</w:t>
      </w:r>
      <w:r>
        <w:rPr>
          <w:sz w:val="22"/>
          <w:szCs w:val="22"/>
        </w:rPr>
        <w:t>, C. Mary</w:t>
      </w:r>
      <w:r>
        <w:rPr>
          <w:sz w:val="22"/>
          <w:szCs w:val="22"/>
          <w:vertAlign w:val="superscript"/>
        </w:rPr>
        <w:t>1</w:t>
      </w:r>
      <w:r>
        <w:rPr>
          <w:sz w:val="22"/>
          <w:szCs w:val="22"/>
        </w:rPr>
        <w:t>, E. Donnier</w:t>
      </w:r>
      <w:r>
        <w:rPr>
          <w:sz w:val="22"/>
          <w:szCs w:val="22"/>
          <w:vertAlign w:val="superscript"/>
        </w:rPr>
        <w:t>1</w:t>
      </w:r>
      <w:r>
        <w:rPr>
          <w:sz w:val="22"/>
          <w:szCs w:val="22"/>
        </w:rPr>
        <w:t>, P. Praharaj</w:t>
      </w:r>
      <w:r>
        <w:rPr>
          <w:sz w:val="22"/>
          <w:szCs w:val="22"/>
          <w:vertAlign w:val="superscript"/>
        </w:rPr>
        <w:t>2</w:t>
      </w:r>
      <w:r>
        <w:rPr>
          <w:sz w:val="22"/>
          <w:szCs w:val="22"/>
        </w:rPr>
        <w:t>, M.H. Soflaee</w:t>
      </w:r>
      <w:r>
        <w:rPr>
          <w:sz w:val="22"/>
          <w:szCs w:val="22"/>
          <w:vertAlign w:val="superscript"/>
        </w:rPr>
        <w:t>2</w:t>
      </w:r>
      <w:r>
        <w:rPr>
          <w:sz w:val="22"/>
          <w:szCs w:val="22"/>
        </w:rPr>
        <w:t>, G. Hoxhaj</w:t>
      </w:r>
      <w:r>
        <w:rPr>
          <w:sz w:val="22"/>
          <w:szCs w:val="22"/>
          <w:vertAlign w:val="superscript"/>
        </w:rPr>
        <w:t>2</w:t>
      </w:r>
      <w:r>
        <w:rPr>
          <w:sz w:val="22"/>
          <w:szCs w:val="22"/>
        </w:rPr>
        <w:t>, C. Lionne</w:t>
      </w:r>
      <w:r>
        <w:rPr>
          <w:sz w:val="22"/>
          <w:szCs w:val="22"/>
          <w:vertAlign w:val="superscript"/>
        </w:rPr>
        <w:t>1</w:t>
      </w:r>
      <w:r>
        <w:rPr>
          <w:sz w:val="22"/>
          <w:szCs w:val="22"/>
        </w:rPr>
        <w:t xml:space="preserve"> </w:t>
      </w:r>
    </w:p>
    <w:p>
      <w:pPr>
        <w:pStyle w:val="Heading3"/>
        <w:rPr/>
      </w:pPr>
      <w:r>
        <w:rPr>
          <w:vertAlign w:val="superscript"/>
        </w:rPr>
        <w:t>1</w:t>
      </w:r>
      <w:r>
        <w:rPr/>
        <w:t xml:space="preserve">Centre de Biologie Structurale, CNRS – INSERM – Univ. Montpellier, 29 rue de Navacelles, Montpellier, France. </w:t>
      </w:r>
      <w:r>
        <w:rPr>
          <w:vertAlign w:val="superscript"/>
        </w:rPr>
        <w:t>2</w:t>
      </w:r>
      <w:r>
        <w:rPr/>
        <w:t>Children's Medical Center Research Institute, University of Texas Southwestern Medical Center, Dallas, TX 75390, USA.</w:t>
      </w:r>
    </w:p>
    <w:p>
      <w:pPr>
        <w:pStyle w:val="Heading3"/>
        <w:rPr>
          <w:sz w:val="18"/>
          <w:szCs w:val="18"/>
        </w:rPr>
      </w:pPr>
      <w:r>
        <w:rPr/>
        <w:t>Gilles.Labesse@cbs.cnrs.fr</w:t>
      </w:r>
      <w:r>
        <w:rPr>
          <w:lang w:eastAsia="de-DE"/>
        </w:rPr>
        <w:br/>
      </w:r>
    </w:p>
    <w:p>
      <w:pPr>
        <w:pStyle w:val="TextBody"/>
        <w:rPr/>
      </w:pPr>
      <w:r>
        <w:drawing>
          <wp:anchor behindDoc="0" distT="0" distB="0" distL="0" distR="0" simplePos="0" locked="0" layoutInCell="0" allowOverlap="1" relativeHeight="2">
            <wp:simplePos x="0" y="0"/>
            <wp:positionH relativeFrom="column">
              <wp:posOffset>167005</wp:posOffset>
            </wp:positionH>
            <wp:positionV relativeFrom="paragraph">
              <wp:posOffset>1363980</wp:posOffset>
            </wp:positionV>
            <wp:extent cx="6300470" cy="1483360"/>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0" t="25459" r="0" b="32662"/>
                    <a:stretch>
                      <a:fillRect/>
                    </a:stretch>
                  </pic:blipFill>
                  <pic:spPr bwMode="auto">
                    <a:xfrm>
                      <a:off x="0" y="0"/>
                      <a:ext cx="6300470" cy="1483360"/>
                    </a:xfrm>
                    <a:prstGeom prst="rect">
                      <a:avLst/>
                    </a:prstGeom>
                  </pic:spPr>
                </pic:pic>
              </a:graphicData>
            </a:graphic>
          </wp:anchor>
        </w:drawing>
      </w:r>
      <w:r>
        <w:rPr>
          <w:rStyle w:val="Titre6Car"/>
          <w:rFonts w:cs="Calibri" w:ascii="Nimbus Roman" w:hAnsi="Nimbus Roman"/>
          <w:szCs w:val="20"/>
          <w:lang w:val="en-US"/>
        </w:rPr>
        <w:t xml:space="preserve">NAD kinases (NADKs) are key enzymes in living systems and the unique proteins that catalyze the phosphorylation of NAD to NADP. NADKs belong to a highly divergent superfamily of kinases, that we defined earlier [1]. Their substrate, NAD, and product, NADP, are essential cofactors in all living organisms for catabolic reactions (e.g. glycolysis), cellular respiration, and many anabolic metabolisms (e.g.: lipid, amino acid and nucleic acid biosynthesis). NADPH acts as the main cofactor of antioxidant systems. Targeting essential metabolic steps is efficient in anti-infective or anti-cancer therapies, as exemplified by antimetabolites inhibiting DHFRs from bacteria, parasites or humans (e.g.: trimetropim, </w:t>
      </w:r>
      <w:r>
        <w:rPr>
          <w:rStyle w:val="Titre6Car"/>
          <w:rFonts w:cs="Calibri" w:ascii="Nimbus Roman" w:hAnsi="Nimbus Roman" w:cstheme="minorHAnsi"/>
          <w:szCs w:val="20"/>
          <w:lang w:val="en-US"/>
        </w:rPr>
        <w:t>pyrimethamine or metrothexate</w:t>
      </w:r>
      <w:r>
        <w:rPr>
          <w:rStyle w:val="Titre6Car"/>
          <w:rFonts w:cs="Calibri" w:ascii="Nimbus Roman" w:hAnsi="Nimbus Roman"/>
          <w:szCs w:val="20"/>
          <w:lang w:val="en-US"/>
        </w:rPr>
        <w:t>). So we engaged in characterizing NADKs (bacterial and eukaryotic) as promising, but understudied orphan drug targets.</w:t>
      </w:r>
    </w:p>
    <w:p>
      <w:pPr>
        <w:pStyle w:val="TextBody"/>
        <w:jc w:val="center"/>
        <w:rPr>
          <w:rFonts w:ascii="Nimbus Roman" w:hAnsi="Nimbus Roman"/>
        </w:rPr>
      </w:pPr>
      <w:r>
        <w:rPr>
          <w:rFonts w:cs="Calibri" w:ascii="Calibri" w:hAnsi="Calibri"/>
          <w:b/>
          <w:sz w:val="18"/>
          <w:szCs w:val="18"/>
          <w:lang w:val="en-US"/>
        </w:rPr>
        <w:t>Figure 1</w:t>
      </w:r>
      <w:r>
        <w:rPr>
          <w:rFonts w:cs="Calibri" w:ascii="Calibri" w:hAnsi="Calibri"/>
          <w:sz w:val="18"/>
          <w:szCs w:val="18"/>
          <w:lang w:val="en-US"/>
        </w:rPr>
        <w:t xml:space="preserve">. </w:t>
      </w:r>
      <w:r>
        <w:rPr>
          <w:rFonts w:cs="Calibri" w:ascii="Nimbus Roman" w:hAnsi="Nimbus Roman"/>
          <w:sz w:val="18"/>
          <w:szCs w:val="18"/>
          <w:lang w:val="en-US"/>
        </w:rPr>
        <w:t>Structures of liganded NADKs from bacterial pathogens and human</w:t>
      </w:r>
      <w:r>
        <w:rPr>
          <w:rFonts w:cs="Calibri" w:ascii="Calibri" w:hAnsi="Calibri"/>
          <w:sz w:val="18"/>
          <w:szCs w:val="18"/>
          <w:lang w:val="en-US"/>
        </w:rPr>
        <w:t>.</w:t>
      </w:r>
    </w:p>
    <w:p>
      <w:pPr>
        <w:pStyle w:val="TextBody"/>
        <w:rPr/>
      </w:pPr>
      <w:r>
        <w:rPr>
          <w:rFonts w:cs="Calibri" w:ascii="Nimbus Roman" w:hAnsi="Nimbus Roman"/>
          <w:lang w:val="en-US"/>
        </w:rPr>
        <w:t xml:space="preserve">Taking advantages of their peculiar modes of ligand recognition and enzymatic catalysis in NADKs, we could design (Coll. S. Pochet, I. Pasteur, Paris) the first stable inhibitors of any NADK after deconstruction of NAD down to the adenine moiety [2]. Better mimicking of the nicotinamide moiety, led to a closely related chemical series, with enzyme inhibition down to the nanomolar range (20 – 40 nM) against bacterial [3] and/or mammalian NADKs (patent </w:t>
      </w:r>
      <w:r>
        <w:rPr>
          <w:rFonts w:cs="Calibri" w:ascii="Nimbus Roman" w:hAnsi="Nimbus Roman"/>
          <w:bCs/>
          <w:lang w:val="en-US"/>
        </w:rPr>
        <w:t>WO2024/013349A1</w:t>
      </w:r>
      <w:r>
        <w:rPr>
          <w:rFonts w:cs="Calibri" w:ascii="Nimbus Roman" w:hAnsi="Nimbus Roman"/>
          <w:lang w:val="en-US"/>
        </w:rPr>
        <w:t xml:space="preserve">). </w:t>
      </w:r>
      <w:r>
        <w:rPr>
          <w:rStyle w:val="Titre6Car"/>
          <w:rFonts w:cs="Calibri" w:ascii="Nimbus Roman" w:hAnsi="Nimbus Roman"/>
          <w:szCs w:val="20"/>
          <w:lang w:val="en-US"/>
        </w:rPr>
        <w:t>Recently, we have also solved the crystal structure of human mitochondrial NADK (</w:t>
      </w:r>
      <w:r>
        <w:rPr>
          <w:rStyle w:val="Titre6Car"/>
          <w:rFonts w:cs="Calibri" w:ascii="Nimbus Roman" w:hAnsi="Nimbus Roman"/>
          <w:i/>
          <w:szCs w:val="20"/>
          <w:lang w:val="en-US"/>
        </w:rPr>
        <w:t>Hs</w:t>
      </w:r>
      <w:r>
        <w:rPr>
          <w:rStyle w:val="Titre6Car"/>
          <w:rFonts w:cs="Calibri" w:ascii="Nimbus Roman" w:hAnsi="Nimbus Roman"/>
          <w:szCs w:val="20"/>
          <w:lang w:val="en-US"/>
        </w:rPr>
        <w:t xml:space="preserve">NADK2) in complex with Mg-NADP [4] and the cryo-EM structures of </w:t>
      </w:r>
      <w:r>
        <w:rPr>
          <w:rStyle w:val="Titre6Car"/>
          <w:rFonts w:cs="Calibri" w:ascii="Nimbus Roman" w:hAnsi="Nimbus Roman"/>
          <w:i/>
          <w:szCs w:val="20"/>
          <w:lang w:val="en-US"/>
        </w:rPr>
        <w:t>Hs</w:t>
      </w:r>
      <w:r>
        <w:rPr>
          <w:rStyle w:val="Titre6Car"/>
          <w:rFonts w:cs="Calibri" w:ascii="Nimbus Roman" w:hAnsi="Nimbus Roman"/>
          <w:szCs w:val="20"/>
          <w:lang w:val="en-US"/>
        </w:rPr>
        <w:t>NADK1, its cytosolic counterpart [5]. These works confirmed the substrate-driven mode of catalysis we have previously predicted, and demonstrated their distinct and complex mode of regulation. We shall discuss the particular functional features revealed by the comparisons of all those new structures and the link with metabolic regulation.</w:t>
      </w:r>
    </w:p>
    <w:p>
      <w:pPr>
        <w:pStyle w:val="Heading4"/>
        <w:ind w:left="0" w:hanging="0"/>
        <w:rPr>
          <w:szCs w:val="18"/>
        </w:rPr>
      </w:pPr>
      <w:r>
        <w:rPr>
          <w:szCs w:val="18"/>
        </w:rPr>
        <w:t>[1]</w:t>
      </w:r>
      <w:r>
        <w:rPr>
          <w:rStyle w:val="Titre6Car"/>
          <w:rFonts w:cs="Calibri" w:ascii="Nimbus Roman" w:hAnsi="Nimbus Roman"/>
          <w:szCs w:val="18"/>
          <w:lang w:val="en-US"/>
        </w:rPr>
        <w:t xml:space="preserve"> Labesse, G., Douguet, D, Assairi, L, Gilles, A.M., (2002)</w:t>
      </w:r>
      <w:r>
        <w:rPr>
          <w:rStyle w:val="Titre6Car"/>
          <w:rFonts w:cs="Calibri" w:ascii="Nimbus Roman" w:hAnsi="Nimbus Roman"/>
          <w:i/>
          <w:iCs/>
          <w:szCs w:val="18"/>
          <w:lang w:val="en-US"/>
        </w:rPr>
        <w:t xml:space="preserve"> Trends Biochem Sci. </w:t>
      </w:r>
      <w:r>
        <w:rPr>
          <w:rStyle w:val="Titre6Car"/>
          <w:rFonts w:cs="Calibri" w:ascii="Nimbus Roman" w:hAnsi="Nimbus Roman"/>
          <w:b/>
          <w:bCs/>
          <w:szCs w:val="18"/>
          <w:lang w:val="en-US"/>
        </w:rPr>
        <w:t>27</w:t>
      </w:r>
      <w:r>
        <w:rPr>
          <w:rStyle w:val="Titre6Car"/>
          <w:rFonts w:cs="Calibri" w:ascii="Nimbus Roman" w:hAnsi="Nimbus Roman"/>
          <w:szCs w:val="18"/>
          <w:lang w:val="en-US"/>
        </w:rPr>
        <w:t>, 273-275.</w:t>
      </w:r>
    </w:p>
    <w:p>
      <w:pPr>
        <w:pStyle w:val="Heading4"/>
        <w:rPr/>
      </w:pPr>
      <w:r>
        <w:rPr>
          <w:rStyle w:val="Titre6Car"/>
          <w:rFonts w:cs="Calibri" w:ascii="Nimbus Roman" w:hAnsi="Nimbus Roman"/>
          <w:szCs w:val="18"/>
          <w:lang w:val="en-US"/>
        </w:rPr>
        <w:t xml:space="preserve">[2] </w:t>
      </w:r>
      <w:r>
        <w:rPr>
          <w:rStyle w:val="Strong"/>
          <w:rFonts w:cs="Calibri" w:ascii="Nimbus Roman" w:hAnsi="Nimbus Roman"/>
          <w:b w:val="false"/>
          <w:szCs w:val="18"/>
          <w:lang w:val="en-US"/>
        </w:rPr>
        <w:t xml:space="preserve">Gelin, M., </w:t>
      </w:r>
      <w:r>
        <w:rPr>
          <w:rStyle w:val="Strong"/>
          <w:rFonts w:cs="Calibri" w:ascii="Nimbus Roman" w:hAnsi="Nimbus Roman"/>
          <w:b w:val="false"/>
          <w:color w:val="000000"/>
          <w:szCs w:val="18"/>
          <w:lang w:val="en-US"/>
        </w:rPr>
        <w:t xml:space="preserve">Paoletti, J., Nahori, M.A., Huteau, V., Leseigneur, C., Jouvion, G., Dugué, L., Clément, D., Pons, J.L., Assairi, L., Pochet, S., Labesse, G., Dussurget, O. (2020) </w:t>
      </w:r>
      <w:r>
        <w:rPr>
          <w:rStyle w:val="Strong"/>
          <w:rFonts w:cs="Nimbus Roman No9 L;Times New Ro" w:ascii="Nimbus Roman" w:hAnsi="Nimbus Roman"/>
          <w:b w:val="false"/>
          <w:i/>
          <w:iCs/>
          <w:color w:val="000000"/>
          <w:szCs w:val="18"/>
          <w:lang w:val="en-US"/>
        </w:rPr>
        <w:t xml:space="preserve">ACS Infect Dis. </w:t>
      </w:r>
      <w:r>
        <w:rPr>
          <w:rStyle w:val="Strong"/>
          <w:rFonts w:cs="Nimbus Roman No9 L;Times New Ro" w:ascii="Nimbus Roman" w:hAnsi="Nimbus Roman"/>
          <w:bCs/>
          <w:color w:val="000000"/>
          <w:szCs w:val="18"/>
          <w:lang w:val="en-US"/>
        </w:rPr>
        <w:t>6</w:t>
      </w:r>
      <w:r>
        <w:rPr>
          <w:rStyle w:val="Strong"/>
          <w:rFonts w:cs="Nimbus Roman No9 L;Times New Ro" w:ascii="Nimbus Roman" w:hAnsi="Nimbus Roman"/>
          <w:b w:val="false"/>
          <w:color w:val="000000"/>
          <w:szCs w:val="18"/>
          <w:lang w:val="en-US"/>
        </w:rPr>
        <w:t>, 422-435</w:t>
      </w:r>
      <w:r>
        <w:rPr>
          <w:rStyle w:val="Strong"/>
          <w:rFonts w:cs="Nimbus Roman No9 L;Times New Ro" w:ascii="Nimbus Roman" w:hAnsi="Nimbus Roman"/>
          <w:b w:val="false"/>
          <w:i/>
          <w:iCs/>
          <w:color w:val="000000"/>
          <w:szCs w:val="18"/>
          <w:lang w:val="en-US"/>
        </w:rPr>
        <w:t>.</w:t>
      </w:r>
    </w:p>
    <w:p>
      <w:pPr>
        <w:pStyle w:val="Heading4"/>
        <w:rPr/>
      </w:pPr>
      <w:r>
        <w:rPr>
          <w:rFonts w:ascii="Nimbus Roman" w:hAnsi="Nimbus Roman"/>
          <w:szCs w:val="18"/>
        </w:rPr>
        <w:t>[3] Rahimova, R., Nogaret, P., Huteau, V., Gelin, M., Clément, D.A., Labesse, G., Pochet, S., Blanc-Potard, A.B., Lionne, C</w:t>
      </w:r>
      <w:r>
        <w:rPr>
          <w:rFonts w:cs="Calibri" w:ascii="Nimbus Roman" w:hAnsi="Nimbus Roman"/>
          <w:szCs w:val="18"/>
          <w:lang w:val="en-US"/>
        </w:rPr>
        <w:t xml:space="preserve"> (2022)</w:t>
      </w:r>
      <w:r>
        <w:rPr>
          <w:rFonts w:ascii="Nimbus Roman" w:hAnsi="Nimbus Roman"/>
          <w:szCs w:val="18"/>
        </w:rPr>
        <w:t xml:space="preserve"> </w:t>
      </w:r>
      <w:r>
        <w:rPr>
          <w:rStyle w:val="Accentuationforte"/>
          <w:rFonts w:ascii="Nimbus Roman" w:hAnsi="Nimbus Roman"/>
          <w:b w:val="false"/>
          <w:i/>
          <w:iCs/>
          <w:color w:val="00000A"/>
          <w:szCs w:val="18"/>
        </w:rPr>
        <w:t>FEBS J</w:t>
      </w:r>
      <w:r>
        <w:rPr>
          <w:rStyle w:val="Accentuationforte"/>
          <w:rFonts w:ascii="Nimbus Roman" w:hAnsi="Nimbus Roman"/>
          <w:b w:val="false"/>
          <w:color w:val="00000A"/>
          <w:szCs w:val="18"/>
        </w:rPr>
        <w:t>.,</w:t>
      </w:r>
      <w:r>
        <w:rPr>
          <w:rStyle w:val="Accentuationforte"/>
          <w:rFonts w:ascii="Nimbus Roman" w:hAnsi="Nimbus Roman"/>
          <w:b w:val="false"/>
          <w:color w:val="00000A"/>
          <w:szCs w:val="18"/>
          <w:lang w:val="en-US"/>
        </w:rPr>
        <w:t xml:space="preserve"> </w:t>
      </w:r>
      <w:r>
        <w:rPr>
          <w:rStyle w:val="Accentuationforte"/>
          <w:rFonts w:ascii="Nimbus Roman" w:hAnsi="Nimbus Roman"/>
          <w:bCs/>
          <w:color w:val="00000A"/>
          <w:szCs w:val="18"/>
          <w:lang w:val="en-US"/>
        </w:rPr>
        <w:t>290</w:t>
      </w:r>
      <w:r>
        <w:rPr>
          <w:rStyle w:val="Accentuationforte"/>
          <w:rFonts w:ascii="Nimbus Roman" w:hAnsi="Nimbus Roman"/>
          <w:b w:val="false"/>
          <w:color w:val="00000A"/>
          <w:szCs w:val="18"/>
          <w:lang w:val="en-US"/>
        </w:rPr>
        <w:t>, 482-501.</w:t>
      </w:r>
    </w:p>
    <w:p>
      <w:pPr>
        <w:pStyle w:val="Heading4"/>
        <w:rPr/>
      </w:pPr>
      <w:r>
        <w:rPr>
          <w:rFonts w:ascii="Nimbus Roman" w:hAnsi="Nimbus Roman"/>
          <w:szCs w:val="18"/>
        </w:rPr>
        <w:t xml:space="preserve">[4] Soflaee, M.H., Kesavan, R., Gelin, M., Brown, H., Zacharias, G., Mathews, T.P., Lemoff, A., Lionne, C., Labesse, G., Hoxhaj, G. (2022) </w:t>
      </w:r>
      <w:r>
        <w:rPr>
          <w:rStyle w:val="Accentuationforte"/>
          <w:rFonts w:ascii="Nimbus Roman" w:hAnsi="Nimbus Roman"/>
          <w:b w:val="false"/>
          <w:i/>
          <w:iCs/>
          <w:color w:val="00000A"/>
          <w:szCs w:val="18"/>
          <w:lang w:val="en-US"/>
        </w:rPr>
        <w:t xml:space="preserve">Mol. Cell. </w:t>
      </w:r>
      <w:r>
        <w:rPr>
          <w:rStyle w:val="Accentuationforte"/>
          <w:rFonts w:ascii="Nimbus Roman" w:hAnsi="Nimbus Roman"/>
          <w:bCs/>
          <w:color w:val="00000A"/>
          <w:szCs w:val="18"/>
          <w:lang w:val="en-US"/>
        </w:rPr>
        <w:t>82</w:t>
      </w:r>
      <w:r>
        <w:rPr>
          <w:rStyle w:val="Accentuationforte"/>
          <w:rFonts w:ascii="Nimbus Roman" w:hAnsi="Nimbus Roman"/>
          <w:b w:val="false"/>
          <w:i/>
          <w:iCs/>
          <w:color w:val="00000A"/>
          <w:szCs w:val="18"/>
          <w:lang w:val="en-US"/>
        </w:rPr>
        <w:t xml:space="preserve">, </w:t>
      </w:r>
      <w:r>
        <w:rPr>
          <w:rStyle w:val="Accentuationforte"/>
          <w:rFonts w:ascii="Nimbus Roman" w:hAnsi="Nimbus Roman"/>
          <w:b w:val="false"/>
          <w:color w:val="00000A"/>
          <w:szCs w:val="18"/>
          <w:lang w:val="en-US"/>
        </w:rPr>
        <w:t>3299-3311.</w:t>
      </w:r>
    </w:p>
    <w:p>
      <w:pPr>
        <w:pStyle w:val="Heading4"/>
        <w:rPr/>
      </w:pPr>
      <w:r>
        <w:rPr>
          <w:rFonts w:ascii="Nimbus Roman" w:hAnsi="Nimbus Roman"/>
          <w:szCs w:val="18"/>
        </w:rPr>
        <w:t xml:space="preserve">[5] Praharaj. P.P., Li, Y., Mary, C., Soflaee, M.H., Ryun, K., Kimn, D., Trann, D.H., Deyn, T., Tom, H.J., Rion H., Gelin, M., Lemoff, A., Zacharias, L.G., Patricio, J.S., Mathews, T.P., Chen, Z., Lionne, C., Hoxhaj, G., Labesse, G. (2025) </w:t>
      </w:r>
      <w:r>
        <w:rPr>
          <w:rFonts w:ascii="Nimbus Roman" w:hAnsi="Nimbus Roman"/>
          <w:i/>
          <w:szCs w:val="18"/>
        </w:rPr>
        <w:t xml:space="preserve">Sci. Adv., </w:t>
      </w:r>
      <w:r>
        <w:rPr>
          <w:rFonts w:ascii="Nimbus Roman" w:hAnsi="Nimbus Roman"/>
          <w:b/>
          <w:szCs w:val="18"/>
        </w:rPr>
        <w:t>11</w:t>
      </w:r>
      <w:r>
        <w:rPr>
          <w:rStyle w:val="Accentuationforte"/>
          <w:rFonts w:eastAsia="Geneva" w:cs="Nimbus Roman No9 L;Times New Ro" w:ascii="Nimbus Roman" w:hAnsi="Nimbus Roman"/>
          <w:b w:val="false"/>
          <w:color w:val="000000"/>
          <w:szCs w:val="18"/>
          <w:lang w:val="en-US"/>
        </w:rPr>
        <w:t>, eads2664.</w:t>
      </w:r>
    </w:p>
    <w:p>
      <w:pPr>
        <w:pStyle w:val="Acknowledgement"/>
        <w:rPr>
          <w:lang w:eastAsia="cs-CZ"/>
        </w:rPr>
      </w:pPr>
      <w:r>
        <w:rPr>
          <w:lang w:eastAsia="cs-CZ"/>
        </w:rPr>
      </w:r>
    </w:p>
    <w:p>
      <w:pPr>
        <w:pStyle w:val="Acknowledgement"/>
        <w:spacing w:before="0" w:after="120"/>
        <w:rPr/>
      </w:pPr>
      <w:r>
        <w:rPr>
          <w:lang w:eastAsia="cs-CZ"/>
        </w:rPr>
        <w:t>Acknowledgement: FRM 202303016265</w:t>
      </w:r>
    </w:p>
    <w:sectPr>
      <w:headerReference w:type="default" r:id="rId3"/>
      <w:footerReference w:type="default" r:id="rId4"/>
      <w:type w:val="nextPage"/>
      <w:pgSz w:w="12240" w:h="15840"/>
      <w:pgMar w:left="720" w:right="720" w:gutter="0" w:header="708" w:top="765" w:footer="708" w:bottom="765"/>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Nimbus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80"/>
  <w:trackRevisions/>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eastAsia="de-DE" w:val="en-GB" w:bidi="ar-SA"/>
    </w:rPr>
  </w:style>
  <w:style w:type="paragraph" w:styleId="Heading1">
    <w:name w:val="Heading 1"/>
    <w:basedOn w:val="Normal"/>
    <w:next w:val="Heading2"/>
    <w:link w:val="Titre1C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Titre2C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Titre3Car"/>
    <w:uiPriority w:val="99"/>
    <w:qFormat/>
    <w:rsid w:val="002e03db"/>
    <w:pPr>
      <w:keepNext w:val="true"/>
      <w:jc w:val="center"/>
      <w:outlineLvl w:val="2"/>
    </w:pPr>
    <w:rPr>
      <w:bCs/>
      <w:i/>
      <w:szCs w:val="24"/>
      <w:lang w:eastAsia="cs-CZ"/>
    </w:rPr>
  </w:style>
  <w:style w:type="paragraph" w:styleId="Heading4">
    <w:name w:val="Heading 4"/>
    <w:basedOn w:val="Normal"/>
    <w:next w:val="Normal"/>
    <w:link w:val="Titre4Car"/>
    <w:uiPriority w:val="99"/>
    <w:qFormat/>
    <w:rsid w:val="00ff732e"/>
    <w:pPr>
      <w:keepNext w:val="true"/>
      <w:ind w:left="567" w:hanging="567"/>
      <w:outlineLvl w:val="3"/>
    </w:pPr>
    <w:rPr>
      <w:bCs/>
      <w:sz w:val="18"/>
      <w:szCs w:val="24"/>
      <w:lang w:eastAsia="cs-CZ"/>
    </w:rPr>
  </w:style>
  <w:style w:type="paragraph" w:styleId="Heading5">
    <w:name w:val="Heading 5"/>
    <w:basedOn w:val="Heading6"/>
    <w:next w:val="Normal"/>
    <w:link w:val="Titre5Car"/>
    <w:uiPriority w:val="9"/>
    <w:unhideWhenUsed/>
    <w:qFormat/>
    <w:rsid w:val="00605a18"/>
    <w:pPr>
      <w:outlineLvl w:val="4"/>
    </w:pPr>
    <w:rPr>
      <w:b/>
    </w:rPr>
  </w:style>
  <w:style w:type="paragraph" w:styleId="Heading6">
    <w:name w:val="Heading 6"/>
    <w:basedOn w:val="Normal"/>
    <w:next w:val="Normal"/>
    <w:link w:val="Titre6C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Titre1Car" w:customStyle="1">
    <w:name w:val="Titre 1 Car"/>
    <w:link w:val="Heading1"/>
    <w:uiPriority w:val="99"/>
    <w:qFormat/>
    <w:locked/>
    <w:rsid w:val="00925275"/>
    <w:rPr>
      <w:rFonts w:ascii="Arial" w:hAnsi="Arial" w:cs="Arial"/>
      <w:b/>
      <w:bCs/>
      <w:kern w:val="2"/>
      <w:sz w:val="24"/>
      <w:szCs w:val="32"/>
      <w:lang w:val="en-GB" w:eastAsia="de-DE"/>
    </w:rPr>
  </w:style>
  <w:style w:type="character" w:styleId="Titre2Car" w:customStyle="1">
    <w:name w:val="Titre 2 Car"/>
    <w:link w:val="Heading2"/>
    <w:uiPriority w:val="99"/>
    <w:qFormat/>
    <w:locked/>
    <w:rsid w:val="00925275"/>
    <w:rPr>
      <w:rFonts w:ascii="Arial" w:hAnsi="Arial" w:cs="Arial"/>
      <w:b/>
      <w:bCs/>
      <w:iCs/>
      <w:sz w:val="22"/>
      <w:szCs w:val="28"/>
      <w:lang w:val="en-GB" w:eastAsia="de-DE"/>
    </w:rPr>
  </w:style>
  <w:style w:type="character" w:styleId="Titre3Car" w:customStyle="1">
    <w:name w:val="Titre 3 Car"/>
    <w:link w:val="Heading3"/>
    <w:uiPriority w:val="99"/>
    <w:qFormat/>
    <w:locked/>
    <w:rsid w:val="002e03db"/>
    <w:rPr>
      <w:bCs/>
      <w:i/>
      <w:sz w:val="22"/>
      <w:szCs w:val="24"/>
      <w:lang w:val="en-GB"/>
    </w:rPr>
  </w:style>
  <w:style w:type="character" w:styleId="Titre4Car" w:customStyle="1">
    <w:name w:val="Titre 4 Car"/>
    <w:link w:val="Heading4"/>
    <w:uiPriority w:val="99"/>
    <w:qFormat/>
    <w:locked/>
    <w:rsid w:val="00ff732e"/>
    <w:rPr>
      <w:bCs/>
      <w:sz w:val="18"/>
      <w:szCs w:val="24"/>
      <w:lang w:val="en-GB"/>
    </w:rPr>
  </w:style>
  <w:style w:type="character" w:styleId="AdresseHTMLCar" w:customStyle="1">
    <w:name w:val="Adresse HTML Car"/>
    <w:link w:val="HTMLAddress"/>
    <w:uiPriority w:val="99"/>
    <w:semiHidden/>
    <w:qFormat/>
    <w:rsid w:val="005e6dcd"/>
    <w:rPr>
      <w:i/>
      <w:iCs/>
      <w:lang w:val="de-DE" w:eastAsia="de-DE"/>
    </w:rPr>
  </w:style>
  <w:style w:type="character" w:styleId="Titre5Car" w:customStyle="1">
    <w:name w:val="Titre 5 Car"/>
    <w:link w:val="Heading5"/>
    <w:uiPriority w:val="9"/>
    <w:qFormat/>
    <w:rsid w:val="00605a18"/>
    <w:rPr>
      <w:b/>
      <w:bCs/>
      <w:szCs w:val="22"/>
      <w:lang w:val="en-GB" w:eastAsia="de-DE"/>
    </w:rPr>
  </w:style>
  <w:style w:type="character" w:styleId="Titre6Car" w:customStyle="1">
    <w:name w:val="Titre 6 Car"/>
    <w:link w:val="Heading6"/>
    <w:uiPriority w:val="9"/>
    <w:qFormat/>
    <w:rsid w:val="00777da8"/>
    <w:rPr>
      <w:rFonts w:eastAsia="Times New Roman" w:cs="Times New Roman"/>
      <w:bCs/>
      <w:szCs w:val="22"/>
      <w:lang w:val="de-DE" w:eastAsia="de-DE"/>
    </w:rPr>
  </w:style>
  <w:style w:type="character" w:styleId="EntteCar" w:customStyle="1">
    <w:name w:val="En-tête Car"/>
    <w:link w:val="Header"/>
    <w:uiPriority w:val="99"/>
    <w:qFormat/>
    <w:rsid w:val="00d13351"/>
    <w:rPr>
      <w:lang w:val="en-GB" w:eastAsia="de-DE"/>
    </w:rPr>
  </w:style>
  <w:style w:type="character" w:styleId="PieddepageCar" w:customStyle="1">
    <w:name w:val="Pied de page Car"/>
    <w:link w:val="Footer"/>
    <w:uiPriority w:val="99"/>
    <w:qFormat/>
    <w:rsid w:val="00d13351"/>
    <w:rPr>
      <w:lang w:val="en-GB" w:eastAsia="de-DE"/>
    </w:rPr>
  </w:style>
  <w:style w:type="character" w:styleId="TextedebullesCar" w:customStyle="1">
    <w:name w:val="Texte de bulles Car"/>
    <w:link w:val="BalloonText"/>
    <w:uiPriority w:val="99"/>
    <w:semiHidden/>
    <w:qFormat/>
    <w:rsid w:val="00c64dbe"/>
    <w:rPr>
      <w:rFonts w:ascii="Tahoma" w:hAnsi="Tahoma" w:cs="Tahoma"/>
      <w:sz w:val="16"/>
      <w:szCs w:val="16"/>
      <w:lang w:val="en-GB" w:eastAsia="de-DE"/>
    </w:rPr>
  </w:style>
  <w:style w:type="character" w:styleId="Strong">
    <w:name w:val="Strong"/>
    <w:qFormat/>
    <w:rPr>
      <w:b/>
      <w:bCs/>
    </w:rPr>
  </w:style>
  <w:style w:type="character" w:styleId="Accentuationforte" w:customStyle="1">
    <w:name w:val="Accentuation forte"/>
    <w:qFormat/>
    <w:rPr>
      <w:b/>
      <w:bCs/>
    </w:rPr>
  </w:style>
  <w:style w:type="character" w:styleId="Annotationreference">
    <w:name w:val="annotation reference"/>
    <w:basedOn w:val="DefaultParagraphFont"/>
    <w:uiPriority w:val="99"/>
    <w:semiHidden/>
    <w:unhideWhenUsed/>
    <w:qFormat/>
    <w:rsid w:val="00fe6ee9"/>
    <w:rPr>
      <w:sz w:val="16"/>
      <w:szCs w:val="16"/>
    </w:rPr>
  </w:style>
  <w:style w:type="character" w:styleId="CommentaireCar" w:customStyle="1">
    <w:name w:val="Commentaire Car"/>
    <w:basedOn w:val="DefaultParagraphFont"/>
    <w:link w:val="Annotationtext"/>
    <w:uiPriority w:val="99"/>
    <w:semiHidden/>
    <w:qFormat/>
    <w:rsid w:val="00fe6ee9"/>
    <w:rPr>
      <w:lang w:eastAsia="de-DE"/>
    </w:rPr>
  </w:style>
  <w:style w:type="character" w:styleId="ObjetducommentaireCar" w:customStyle="1">
    <w:name w:val="Objet du commentaire Car"/>
    <w:basedOn w:val="CommentaireCar"/>
    <w:link w:val="Annotationsubject"/>
    <w:uiPriority w:val="99"/>
    <w:semiHidden/>
    <w:qFormat/>
    <w:rsid w:val="00fe6ee9"/>
    <w:rPr>
      <w:b/>
      <w:bCs/>
      <w:lang w:eastAsia="de-DE"/>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AdresseHTMLC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EntteCar"/>
    <w:uiPriority w:val="99"/>
    <w:unhideWhenUsed/>
    <w:rsid w:val="00d13351"/>
    <w:pPr>
      <w:tabs>
        <w:tab w:val="clear" w:pos="720"/>
        <w:tab w:val="center" w:pos="4536" w:leader="none"/>
        <w:tab w:val="right" w:pos="9072" w:leader="none"/>
      </w:tabs>
    </w:pPr>
    <w:rPr/>
  </w:style>
  <w:style w:type="paragraph" w:styleId="Footer">
    <w:name w:val="Footer"/>
    <w:basedOn w:val="Normal"/>
    <w:link w:val="PieddepageC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TextedebullesCar"/>
    <w:uiPriority w:val="99"/>
    <w:semiHidden/>
    <w:unhideWhenUsed/>
    <w:qFormat/>
    <w:rsid w:val="00c64dbe"/>
    <w:pPr>
      <w:spacing w:before="0" w:after="0"/>
    </w:pPr>
    <w:rPr>
      <w:rFonts w:ascii="Tahoma" w:hAnsi="Tahoma" w:cs="Tahoma"/>
      <w:sz w:val="16"/>
      <w:szCs w:val="16"/>
    </w:rPr>
  </w:style>
  <w:style w:type="paragraph" w:styleId="Annotationtext">
    <w:name w:val="annotation text"/>
    <w:basedOn w:val="Normal"/>
    <w:link w:val="CommentaireCar"/>
    <w:uiPriority w:val="99"/>
    <w:semiHidden/>
    <w:unhideWhenUsed/>
    <w:qFormat/>
    <w:rsid w:val="00fe6ee9"/>
    <w:pPr/>
    <w:rPr/>
  </w:style>
  <w:style w:type="paragraph" w:styleId="Annotationsubject">
    <w:name w:val="annotation subject"/>
    <w:basedOn w:val="Annotationtext"/>
    <w:next w:val="Annotationtext"/>
    <w:link w:val="ObjetducommentaireCar"/>
    <w:uiPriority w:val="99"/>
    <w:semiHidden/>
    <w:unhideWhenUsed/>
    <w:qFormat/>
    <w:rsid w:val="00fe6ee9"/>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D0C72-B40B-4B87-A2AA-659E9E47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1</Pages>
  <Words>478</Words>
  <Characters>2791</Characters>
  <CharactersWithSpaces>3260</CharactersWithSpaces>
  <Paragraphs>15</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2025-04-30T14:33:00Z</dcterms:created>
  <dc:creator>Uživatel systému Windows</dc:creator>
  <dc:description/>
  <dc:language>en-GB</dc:language>
  <cp:lastModifiedBy/>
  <dcterms:modified xsi:type="dcterms:W3CDTF">2025-04-30T16:56:55Z</dcterms:modified>
  <cp:revision>6</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ae913729-a304-4ef9-82d8-6a3c5dd9c2ea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