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B8F4" w14:textId="77777777" w:rsidR="00DB529C" w:rsidRPr="007C06D0" w:rsidRDefault="00DB529C" w:rsidP="0043219D">
      <w:pPr>
        <w:jc w:val="center"/>
        <w:rPr>
          <w:rStyle w:val="fadeinpfttw8"/>
          <w:rFonts w:ascii="Arial" w:hAnsi="Arial" w:cs="Arial"/>
          <w:b/>
          <w:bCs/>
          <w:lang w:val="en-US"/>
        </w:rPr>
      </w:pPr>
      <w:r w:rsidRPr="007C06D0">
        <w:rPr>
          <w:rStyle w:val="fadeinpfttw8"/>
          <w:rFonts w:ascii="Arial" w:hAnsi="Arial" w:cs="Arial"/>
          <w:b/>
          <w:bCs/>
          <w:lang w:val="en-US"/>
        </w:rPr>
        <w:t>Serendipitous Discovery of a New Polymorph of L-Serine</w:t>
      </w:r>
    </w:p>
    <w:p w14:paraId="13D6425B" w14:textId="2F7D5A02" w:rsidR="00DB529C" w:rsidRPr="007C06D0" w:rsidRDefault="00DB529C" w:rsidP="0043219D">
      <w:pPr>
        <w:jc w:val="center"/>
        <w:rPr>
          <w:rStyle w:val="fadeinpfttw8"/>
          <w:rFonts w:ascii="Arial" w:hAnsi="Arial" w:cs="Arial"/>
          <w:b/>
          <w:bCs/>
          <w:sz w:val="22"/>
          <w:szCs w:val="22"/>
        </w:rPr>
      </w:pPr>
      <w:r w:rsidRPr="007C06D0">
        <w:rPr>
          <w:rStyle w:val="fadeinpfttw8"/>
          <w:rFonts w:ascii="Arial" w:hAnsi="Arial" w:cs="Arial"/>
          <w:b/>
          <w:bCs/>
          <w:sz w:val="22"/>
          <w:szCs w:val="22"/>
        </w:rPr>
        <w:t>A</w:t>
      </w:r>
      <w:r w:rsidR="007C06D0" w:rsidRPr="007C06D0">
        <w:rPr>
          <w:rStyle w:val="fadeinpfttw8"/>
          <w:rFonts w:ascii="Arial" w:hAnsi="Arial" w:cs="Arial"/>
          <w:b/>
          <w:bCs/>
          <w:sz w:val="22"/>
          <w:szCs w:val="22"/>
        </w:rPr>
        <w:t>.</w:t>
      </w:r>
      <w:r w:rsidRPr="007C06D0">
        <w:rPr>
          <w:rStyle w:val="fadeinpfttw8"/>
          <w:rFonts w:ascii="Arial" w:hAnsi="Arial" w:cs="Arial"/>
          <w:b/>
          <w:bCs/>
          <w:sz w:val="22"/>
          <w:szCs w:val="22"/>
        </w:rPr>
        <w:t xml:space="preserve"> Skórska-Stania</w:t>
      </w:r>
      <w:r w:rsidR="0043219D" w:rsidRPr="007C06D0">
        <w:rPr>
          <w:rStyle w:val="fadeinpfttw8"/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7C06D0">
        <w:rPr>
          <w:rStyle w:val="fadeinpfttw8"/>
          <w:rFonts w:ascii="Arial" w:hAnsi="Arial" w:cs="Arial"/>
          <w:b/>
          <w:bCs/>
          <w:sz w:val="22"/>
          <w:szCs w:val="22"/>
        </w:rPr>
        <w:t>, Sz</w:t>
      </w:r>
      <w:r w:rsidR="007C06D0" w:rsidRPr="007C06D0">
        <w:rPr>
          <w:rStyle w:val="fadeinpfttw8"/>
          <w:rFonts w:ascii="Arial" w:hAnsi="Arial" w:cs="Arial"/>
          <w:b/>
          <w:bCs/>
          <w:sz w:val="22"/>
          <w:szCs w:val="22"/>
        </w:rPr>
        <w:t xml:space="preserve">. </w:t>
      </w:r>
      <w:r w:rsidRPr="007C06D0">
        <w:rPr>
          <w:rStyle w:val="fadeinpfttw8"/>
          <w:rFonts w:ascii="Arial" w:hAnsi="Arial" w:cs="Arial"/>
          <w:b/>
          <w:bCs/>
          <w:sz w:val="22"/>
          <w:szCs w:val="22"/>
        </w:rPr>
        <w:t>Grabowski</w:t>
      </w:r>
      <w:r w:rsidR="0043219D" w:rsidRPr="007C06D0">
        <w:rPr>
          <w:rStyle w:val="fadeinpfttw8"/>
          <w:rFonts w:ascii="Arial" w:hAnsi="Arial" w:cs="Arial"/>
          <w:b/>
          <w:bCs/>
          <w:sz w:val="22"/>
          <w:szCs w:val="22"/>
          <w:vertAlign w:val="superscript"/>
        </w:rPr>
        <w:t>1,2</w:t>
      </w:r>
      <w:r w:rsidRPr="007C06D0">
        <w:rPr>
          <w:rStyle w:val="fadeinpfttw8"/>
          <w:rFonts w:ascii="Arial" w:hAnsi="Arial" w:cs="Arial"/>
          <w:b/>
          <w:bCs/>
          <w:sz w:val="22"/>
          <w:szCs w:val="22"/>
        </w:rPr>
        <w:t>, M</w:t>
      </w:r>
      <w:r w:rsidR="007C06D0" w:rsidRPr="007C06D0">
        <w:rPr>
          <w:rStyle w:val="fadeinpfttw8"/>
          <w:rFonts w:ascii="Arial" w:hAnsi="Arial" w:cs="Arial"/>
          <w:b/>
          <w:bCs/>
          <w:sz w:val="22"/>
          <w:szCs w:val="22"/>
        </w:rPr>
        <w:t>.</w:t>
      </w:r>
      <w:r w:rsidRPr="007C06D0">
        <w:rPr>
          <w:rStyle w:val="fadeinpfttw8"/>
          <w:rFonts w:ascii="Arial" w:hAnsi="Arial" w:cs="Arial"/>
          <w:b/>
          <w:bCs/>
          <w:sz w:val="22"/>
          <w:szCs w:val="22"/>
        </w:rPr>
        <w:t xml:space="preserve"> Gryl</w:t>
      </w:r>
      <w:r w:rsidR="0043219D" w:rsidRPr="007C06D0">
        <w:rPr>
          <w:rStyle w:val="fadeinpfttw8"/>
          <w:rFonts w:ascii="Arial" w:hAnsi="Arial" w:cs="Arial"/>
          <w:b/>
          <w:bCs/>
          <w:sz w:val="22"/>
          <w:szCs w:val="22"/>
          <w:vertAlign w:val="superscript"/>
        </w:rPr>
        <w:t>1</w:t>
      </w:r>
    </w:p>
    <w:p w14:paraId="7EE578D1" w14:textId="5AE6DB8D" w:rsidR="0043219D" w:rsidRDefault="0043219D" w:rsidP="007C06D0">
      <w:pPr>
        <w:pStyle w:val="BCAuthorAddress"/>
        <w:spacing w:after="120" w:line="240" w:lineRule="auto"/>
        <w:outlineLvl w:val="2"/>
        <w:rPr>
          <w:rFonts w:ascii="Times New Roman" w:hAnsi="Times New Roman"/>
          <w:i/>
          <w:iCs/>
          <w:sz w:val="20"/>
          <w:szCs w:val="16"/>
        </w:rPr>
      </w:pPr>
      <w:r w:rsidRPr="007C06D0">
        <w:rPr>
          <w:rFonts w:ascii="Times New Roman" w:hAnsi="Times New Roman"/>
          <w:i/>
          <w:iCs/>
          <w:sz w:val="20"/>
          <w:szCs w:val="16"/>
          <w:vertAlign w:val="superscript"/>
        </w:rPr>
        <w:t>1</w:t>
      </w:r>
      <w:r w:rsidRPr="007C06D0">
        <w:rPr>
          <w:rFonts w:ascii="Times New Roman" w:hAnsi="Times New Roman"/>
          <w:i/>
          <w:iCs/>
          <w:sz w:val="20"/>
          <w:szCs w:val="16"/>
        </w:rPr>
        <w:t xml:space="preserve">Faculty of Chemistry, Jagiellonian University, </w:t>
      </w:r>
      <w:proofErr w:type="spellStart"/>
      <w:r w:rsidRPr="007C06D0">
        <w:rPr>
          <w:rFonts w:ascii="Times New Roman" w:hAnsi="Times New Roman"/>
          <w:i/>
          <w:iCs/>
          <w:sz w:val="20"/>
          <w:szCs w:val="16"/>
        </w:rPr>
        <w:t>Gronostajowa</w:t>
      </w:r>
      <w:proofErr w:type="spellEnd"/>
      <w:r w:rsidRPr="007C06D0">
        <w:rPr>
          <w:rFonts w:ascii="Times New Roman" w:hAnsi="Times New Roman"/>
          <w:i/>
          <w:iCs/>
          <w:sz w:val="20"/>
          <w:szCs w:val="16"/>
        </w:rPr>
        <w:t xml:space="preserve"> 2, Kraków, 30-387, Poland</w:t>
      </w:r>
      <w:r w:rsidR="007C06D0">
        <w:rPr>
          <w:rFonts w:ascii="Times New Roman" w:hAnsi="Times New Roman"/>
          <w:i/>
          <w:iCs/>
          <w:sz w:val="20"/>
          <w:szCs w:val="16"/>
        </w:rPr>
        <w:t xml:space="preserve">, </w:t>
      </w:r>
      <w:r w:rsidRPr="007C06D0">
        <w:rPr>
          <w:rFonts w:ascii="Times New Roman" w:hAnsi="Times New Roman"/>
          <w:i/>
          <w:iCs/>
          <w:sz w:val="20"/>
          <w:szCs w:val="16"/>
          <w:vertAlign w:val="superscript"/>
        </w:rPr>
        <w:t>2</w:t>
      </w:r>
      <w:r w:rsidRPr="007C06D0">
        <w:rPr>
          <w:rFonts w:ascii="Times New Roman" w:hAnsi="Times New Roman"/>
          <w:i/>
          <w:iCs/>
          <w:sz w:val="20"/>
          <w:szCs w:val="16"/>
        </w:rPr>
        <w:t>Doctoral School of Exact and Natural Sciences, Jagiellonian University, Prof. St. </w:t>
      </w:r>
      <w:proofErr w:type="spellStart"/>
      <w:r w:rsidRPr="007C06D0">
        <w:rPr>
          <w:rFonts w:ascii="Times New Roman" w:hAnsi="Times New Roman"/>
          <w:i/>
          <w:iCs/>
          <w:sz w:val="20"/>
          <w:szCs w:val="16"/>
        </w:rPr>
        <w:t>Łojasiewicza</w:t>
      </w:r>
      <w:proofErr w:type="spellEnd"/>
      <w:r w:rsidRPr="007C06D0">
        <w:rPr>
          <w:rFonts w:ascii="Times New Roman" w:hAnsi="Times New Roman"/>
          <w:i/>
          <w:iCs/>
          <w:sz w:val="20"/>
          <w:szCs w:val="16"/>
        </w:rPr>
        <w:t xml:space="preserve"> 11, Kraków, 30-348, Poland</w:t>
      </w:r>
    </w:p>
    <w:p w14:paraId="6E90D9D5" w14:textId="08ABC582" w:rsidR="007C06D0" w:rsidRPr="007C06D0" w:rsidRDefault="007C06D0" w:rsidP="007C06D0">
      <w:pPr>
        <w:spacing w:after="120" w:line="240" w:lineRule="auto"/>
        <w:jc w:val="center"/>
        <w:outlineLvl w:val="2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7C06D0">
        <w:rPr>
          <w:rFonts w:ascii="Times New Roman" w:hAnsi="Times New Roman" w:cs="Times New Roman"/>
          <w:i/>
          <w:iCs/>
          <w:sz w:val="20"/>
          <w:szCs w:val="20"/>
          <w:lang w:val="en-US"/>
        </w:rPr>
        <w:t>agnieszka.skorska-stania@uj.edu.pl</w:t>
      </w:r>
    </w:p>
    <w:p w14:paraId="6908D4E4" w14:textId="77777777" w:rsidR="0043219D" w:rsidRPr="0043219D" w:rsidRDefault="0043219D">
      <w:pPr>
        <w:rPr>
          <w:rStyle w:val="fadeinpfttw8"/>
          <w:b/>
          <w:bCs/>
          <w:lang w:val="en-US"/>
        </w:rPr>
      </w:pPr>
    </w:p>
    <w:p w14:paraId="71AEF7E6" w14:textId="77777777" w:rsidR="007C06D0" w:rsidRPr="007C06D0" w:rsidRDefault="00DB529C" w:rsidP="007C06D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</w:pPr>
      <w:r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>A new anhydrous polymorph of L-serine (form V) was obtained under ambient pressure conditions via additive-mediated crystallization. This polymorph represents the second anhydrous form of L-serine crystallized at ambient pressure</w:t>
      </w:r>
      <w:r w:rsidR="0043219D"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 xml:space="preserve"> (form I)</w:t>
      </w:r>
      <w:r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>, in contrast to other known forms that require high-pressure conditions</w:t>
      </w:r>
      <w:r w:rsidR="0043219D"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 xml:space="preserve"> (form II, III, IV)</w:t>
      </w:r>
      <w:r w:rsidR="00711C0E"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 xml:space="preserve"> [1-4]</w:t>
      </w:r>
      <w:r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 xml:space="preserve">. </w:t>
      </w:r>
    </w:p>
    <w:p w14:paraId="2F2BF21C" w14:textId="77BB8E4D" w:rsidR="007C06D0" w:rsidRDefault="00DB529C" w:rsidP="007C06D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</w:pPr>
      <w:r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>Structural analysis reveals that form V shares key hydrogen-bonding motifs with the hydrate</w:t>
      </w:r>
      <w:r w:rsidR="006C6B2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 xml:space="preserve"> (form IH)</w:t>
      </w:r>
      <w:r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>, including zwitterionic dimers stabilized by N–H</w:t>
      </w:r>
      <w:r w:rsidRPr="007C06D0">
        <w:rPr>
          <w:rFonts w:ascii="Cambria Math" w:eastAsia="Times New Roman" w:hAnsi="Cambria Math" w:cs="Cambria Math"/>
          <w:kern w:val="0"/>
          <w:sz w:val="20"/>
          <w:szCs w:val="20"/>
          <w:lang w:val="en-GB" w:eastAsia="de-DE"/>
          <w14:ligatures w14:val="none"/>
        </w:rPr>
        <w:t>⋯</w:t>
      </w:r>
      <w:r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>O and O–H</w:t>
      </w:r>
      <w:r w:rsidRPr="007C06D0">
        <w:rPr>
          <w:rFonts w:ascii="Cambria Math" w:eastAsia="Times New Roman" w:hAnsi="Cambria Math" w:cs="Cambria Math"/>
          <w:kern w:val="0"/>
          <w:sz w:val="20"/>
          <w:szCs w:val="20"/>
          <w:lang w:val="en-GB" w:eastAsia="de-DE"/>
          <w14:ligatures w14:val="none"/>
        </w:rPr>
        <w:t>⋯</w:t>
      </w:r>
      <w:r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>O interactions</w:t>
      </w:r>
      <w:r w:rsidR="006C6B23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 xml:space="preserve"> (Fig 1)</w:t>
      </w:r>
      <w:r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>. In form V, these dimers propagate into a three-dimensional network without incorporating solvent molecules</w:t>
      </w:r>
      <w:r w:rsidR="00657C7E"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 xml:space="preserve"> suggesting a solvent-mediated nucleation pathway, where the hydrogen-bonding motifs observed in the final structure may originate from pre-organized aggregates in solution</w:t>
      </w:r>
      <w:r w:rsidR="00180FC7"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 xml:space="preserve">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6B23" w:rsidRPr="00AA40CE" w14:paraId="7952BDA3" w14:textId="77777777" w:rsidTr="006F63AC">
        <w:trPr>
          <w:trHeight w:val="2354"/>
        </w:trPr>
        <w:tc>
          <w:tcPr>
            <w:tcW w:w="3020" w:type="dxa"/>
          </w:tcPr>
          <w:p w14:paraId="3529105C" w14:textId="09CBDFA5" w:rsidR="006C6B23" w:rsidRDefault="006C6B23" w:rsidP="007C06D0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de-DE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D4F7DFA" wp14:editId="5835155A">
                  <wp:simplePos x="0" y="0"/>
                  <wp:positionH relativeFrom="column">
                    <wp:posOffset>118865</wp:posOffset>
                  </wp:positionH>
                  <wp:positionV relativeFrom="line">
                    <wp:posOffset>479424</wp:posOffset>
                  </wp:positionV>
                  <wp:extent cx="1537200" cy="759600"/>
                  <wp:effectExtent l="0" t="0" r="6350" b="2540"/>
                  <wp:wrapTight wrapText="bothSides">
                    <wp:wrapPolygon edited="0">
                      <wp:start x="0" y="0"/>
                      <wp:lineTo x="0" y="21130"/>
                      <wp:lineTo x="21421" y="21130"/>
                      <wp:lineTo x="21421" y="0"/>
                      <wp:lineTo x="0" y="0"/>
                    </wp:wrapPolygon>
                  </wp:wrapTight>
                  <wp:docPr id="14919469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94692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3" t="6285" r="4002" b="7453"/>
                          <a:stretch/>
                        </pic:blipFill>
                        <pic:spPr bwMode="auto">
                          <a:xfrm>
                            <a:off x="0" y="0"/>
                            <a:ext cx="1537200" cy="75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14:paraId="03657A02" w14:textId="75A57DD1" w:rsidR="006C6B23" w:rsidRDefault="006C6B23" w:rsidP="007C06D0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de-DE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8D8A0E7" wp14:editId="49466C55">
                  <wp:simplePos x="0" y="0"/>
                  <wp:positionH relativeFrom="column">
                    <wp:posOffset>21590</wp:posOffset>
                  </wp:positionH>
                  <wp:positionV relativeFrom="line">
                    <wp:posOffset>439948</wp:posOffset>
                  </wp:positionV>
                  <wp:extent cx="1738800" cy="799200"/>
                  <wp:effectExtent l="0" t="0" r="0" b="1270"/>
                  <wp:wrapTight wrapText="bothSides">
                    <wp:wrapPolygon edited="0">
                      <wp:start x="0" y="0"/>
                      <wp:lineTo x="0" y="21119"/>
                      <wp:lineTo x="21300" y="21119"/>
                      <wp:lineTo x="21300" y="0"/>
                      <wp:lineTo x="0" y="0"/>
                    </wp:wrapPolygon>
                  </wp:wrapTight>
                  <wp:docPr id="197785016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850162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6" t="8141" b="9879"/>
                          <a:stretch/>
                        </pic:blipFill>
                        <pic:spPr bwMode="auto">
                          <a:xfrm>
                            <a:off x="0" y="0"/>
                            <a:ext cx="1738800" cy="79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14:paraId="6706575F" w14:textId="25945579" w:rsidR="006C6B23" w:rsidRDefault="006C6B23" w:rsidP="007C06D0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de-DE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69FC5CB" wp14:editId="186E1D6E">
                  <wp:simplePos x="0" y="0"/>
                  <wp:positionH relativeFrom="column">
                    <wp:posOffset>78740</wp:posOffset>
                  </wp:positionH>
                  <wp:positionV relativeFrom="line">
                    <wp:posOffset>120326</wp:posOffset>
                  </wp:positionV>
                  <wp:extent cx="1623600" cy="1310400"/>
                  <wp:effectExtent l="0" t="0" r="0" b="4445"/>
                  <wp:wrapTight wrapText="bothSides">
                    <wp:wrapPolygon edited="0">
                      <wp:start x="0" y="0"/>
                      <wp:lineTo x="0" y="21359"/>
                      <wp:lineTo x="21296" y="21359"/>
                      <wp:lineTo x="21296" y="0"/>
                      <wp:lineTo x="0" y="0"/>
                    </wp:wrapPolygon>
                  </wp:wrapTight>
                  <wp:docPr id="153504851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048517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5" t="4474" r="4120" b="4949"/>
                          <a:stretch/>
                        </pic:blipFill>
                        <pic:spPr bwMode="auto">
                          <a:xfrm>
                            <a:off x="0" y="0"/>
                            <a:ext cx="1623600" cy="131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F322F" w14:paraId="77405A53" w14:textId="77777777" w:rsidTr="006F322F">
        <w:tc>
          <w:tcPr>
            <w:tcW w:w="3020" w:type="dxa"/>
          </w:tcPr>
          <w:p w14:paraId="713542BD" w14:textId="5792173B" w:rsidR="006F322F" w:rsidRPr="006F322F" w:rsidRDefault="006F322F" w:rsidP="007C06D0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22F">
              <w:rPr>
                <w:rFonts w:ascii="Times New Roman" w:hAnsi="Times New Roman" w:cs="Times New Roman"/>
                <w:noProof/>
                <w:sz w:val="18"/>
                <w:szCs w:val="18"/>
              </w:rPr>
              <w:t>Form V</w:t>
            </w:r>
          </w:p>
        </w:tc>
        <w:tc>
          <w:tcPr>
            <w:tcW w:w="3021" w:type="dxa"/>
          </w:tcPr>
          <w:p w14:paraId="234E4AC4" w14:textId="25ADE2F2" w:rsidR="006F322F" w:rsidRPr="006F322F" w:rsidRDefault="006F322F" w:rsidP="007C06D0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22F">
              <w:rPr>
                <w:rFonts w:ascii="Times New Roman" w:hAnsi="Times New Roman" w:cs="Times New Roman"/>
                <w:noProof/>
                <w:sz w:val="18"/>
                <w:szCs w:val="18"/>
              </w:rPr>
              <w:t>Form I</w:t>
            </w:r>
          </w:p>
        </w:tc>
        <w:tc>
          <w:tcPr>
            <w:tcW w:w="3021" w:type="dxa"/>
          </w:tcPr>
          <w:p w14:paraId="0D970FA8" w14:textId="1CC48989" w:rsidR="006F322F" w:rsidRPr="006F322F" w:rsidRDefault="006F322F" w:rsidP="007C06D0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322F">
              <w:rPr>
                <w:rFonts w:ascii="Times New Roman" w:hAnsi="Times New Roman" w:cs="Times New Roman"/>
                <w:noProof/>
                <w:sz w:val="18"/>
                <w:szCs w:val="18"/>
              </w:rPr>
              <w:t>Form IH</w:t>
            </w:r>
          </w:p>
        </w:tc>
      </w:tr>
    </w:tbl>
    <w:p w14:paraId="035B927B" w14:textId="1BEAEC06" w:rsidR="006C6B23" w:rsidRPr="007C06D0" w:rsidRDefault="006F322F" w:rsidP="006F63AC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</w:pPr>
      <w:r w:rsidRPr="006F63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 w:eastAsia="de-DE"/>
          <w14:ligatures w14:val="none"/>
        </w:rPr>
        <w:t>Figure 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>. Dimers of L-serine in form V, I and IH-monohydrate</w:t>
      </w:r>
    </w:p>
    <w:p w14:paraId="335B0BD5" w14:textId="519A7FF6" w:rsidR="00DB529C" w:rsidRDefault="00DB529C" w:rsidP="007C06D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</w:pPr>
      <w:r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 xml:space="preserve">Thermodynamic calculations using periodic DFT indicate that form V has lower lattice energy than the stable form I at 0 K. However, temperature-dependent Gibbs free energy calculations reveal a stability crossover, with form V favored at lower temperatures and form I </w:t>
      </w:r>
      <w:proofErr w:type="gramStart"/>
      <w:r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>becoming</w:t>
      </w:r>
      <w:proofErr w:type="gramEnd"/>
      <w:r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 xml:space="preserve"> more stable above a certain threshold, supported by experimental observations of solid-state transformations over time or upon heating. These results highlight the importance of supramolecular assembly and solution environment in directing polymorphic </w:t>
      </w:r>
      <w:r w:rsidR="0043219D"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 xml:space="preserve">outcomes </w:t>
      </w:r>
      <w:r w:rsidR="007C06D0"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>and</w:t>
      </w:r>
      <w:r w:rsidR="0043219D"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 xml:space="preserve"> </w:t>
      </w:r>
      <w:r w:rsidRPr="007C06D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  <w:t>illustrate the necessity of integrating crystallographic and thermodynamic perspectives in polymorph discovery.</w:t>
      </w:r>
    </w:p>
    <w:p w14:paraId="07C7259D" w14:textId="77777777" w:rsidR="00F8218E" w:rsidRPr="007C06D0" w:rsidRDefault="00F8218E" w:rsidP="007C06D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de-DE"/>
          <w14:ligatures w14:val="none"/>
        </w:rPr>
      </w:pPr>
    </w:p>
    <w:p w14:paraId="01B2BE63" w14:textId="01652639" w:rsidR="00711C0E" w:rsidRPr="00D1281E" w:rsidRDefault="00711C0E" w:rsidP="00F8218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outlineLvl w:val="3"/>
        <w:rPr>
          <w:rFonts w:ascii="Times New Roman" w:hAnsi="Times New Roman" w:cs="Times New Roman"/>
          <w:noProof/>
          <w:sz w:val="18"/>
          <w:szCs w:val="18"/>
          <w:lang w:val="en-US"/>
        </w:rPr>
      </w:pPr>
      <w:r w:rsidRPr="00D1281E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Kistenmacher, T. J.; Rand, G. A.; Marsh, R. E. Refinements of the Crystal Structures of {\sc Dl}-Serine and Anhydrous {\sc L}-Serine. </w:t>
      </w:r>
      <w:r w:rsidRPr="00D1281E">
        <w:rPr>
          <w:rFonts w:ascii="Times New Roman" w:hAnsi="Times New Roman" w:cs="Times New Roman"/>
          <w:i/>
          <w:iCs/>
          <w:noProof/>
          <w:sz w:val="18"/>
          <w:szCs w:val="18"/>
          <w:lang w:val="en-US"/>
        </w:rPr>
        <w:t>Acta Crystallogr. Sect. B</w:t>
      </w:r>
      <w:r w:rsidRPr="00D1281E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D1281E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1974</w:t>
      </w:r>
      <w:r w:rsidRPr="00D1281E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, </w:t>
      </w:r>
      <w:r w:rsidRPr="00D1281E">
        <w:rPr>
          <w:rFonts w:ascii="Times New Roman" w:hAnsi="Times New Roman" w:cs="Times New Roman"/>
          <w:i/>
          <w:iCs/>
          <w:noProof/>
          <w:sz w:val="18"/>
          <w:szCs w:val="18"/>
          <w:lang w:val="en-US"/>
        </w:rPr>
        <w:t>30</w:t>
      </w:r>
      <w:r w:rsidRPr="00D1281E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 (11), 2573–2578</w:t>
      </w:r>
      <w:r w:rsidR="00F8218E">
        <w:rPr>
          <w:rFonts w:ascii="Times New Roman" w:hAnsi="Times New Roman" w:cs="Times New Roman"/>
          <w:noProof/>
          <w:sz w:val="18"/>
          <w:szCs w:val="18"/>
          <w:lang w:val="en-US"/>
        </w:rPr>
        <w:t>.</w:t>
      </w:r>
    </w:p>
    <w:p w14:paraId="413E98A8" w14:textId="13B8401D" w:rsidR="00711C0E" w:rsidRPr="00D1281E" w:rsidRDefault="00711C0E" w:rsidP="00F8218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outlineLvl w:val="3"/>
        <w:rPr>
          <w:rFonts w:ascii="Times New Roman" w:hAnsi="Times New Roman" w:cs="Times New Roman"/>
          <w:noProof/>
          <w:sz w:val="18"/>
          <w:szCs w:val="18"/>
          <w:lang w:val="en-US"/>
        </w:rPr>
      </w:pPr>
      <w:r w:rsidRPr="00D1281E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Moggach, S. A.; Allan, D. R.; Morrison, C. A.; Parsons, S.; Sawyer, L. Effect of Pressure on the Crystal Structure of L-Serine-I and the Crystal Structure of L-Serine-II at 5.4 GPa. </w:t>
      </w:r>
      <w:r w:rsidRPr="00D1281E">
        <w:rPr>
          <w:rFonts w:ascii="Times New Roman" w:hAnsi="Times New Roman" w:cs="Times New Roman"/>
          <w:i/>
          <w:iCs/>
          <w:noProof/>
          <w:sz w:val="18"/>
          <w:szCs w:val="18"/>
          <w:lang w:val="en-US"/>
        </w:rPr>
        <w:t>Acta Crystallogr. Sect. B Struct. Sci.</w:t>
      </w:r>
      <w:r w:rsidRPr="00D1281E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D1281E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2005</w:t>
      </w:r>
      <w:r w:rsidRPr="00D1281E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, </w:t>
      </w:r>
      <w:r w:rsidRPr="00D1281E">
        <w:rPr>
          <w:rFonts w:ascii="Times New Roman" w:hAnsi="Times New Roman" w:cs="Times New Roman"/>
          <w:i/>
          <w:iCs/>
          <w:noProof/>
          <w:sz w:val="18"/>
          <w:szCs w:val="18"/>
          <w:lang w:val="en-US"/>
        </w:rPr>
        <w:t>61</w:t>
      </w:r>
      <w:r w:rsidRPr="00D1281E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 (1), 58–68. </w:t>
      </w:r>
    </w:p>
    <w:p w14:paraId="197343D2" w14:textId="1892856D" w:rsidR="00711C0E" w:rsidRPr="00D1281E" w:rsidRDefault="00711C0E" w:rsidP="00F8218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outlineLvl w:val="3"/>
        <w:rPr>
          <w:rFonts w:ascii="Times New Roman" w:hAnsi="Times New Roman" w:cs="Times New Roman"/>
          <w:noProof/>
          <w:sz w:val="18"/>
          <w:szCs w:val="18"/>
          <w:lang w:val="en-US"/>
        </w:rPr>
      </w:pPr>
      <w:r w:rsidRPr="00D1281E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Drebushchak, T. N.; Sowa, H.; Seryotkin, Y. V.; Boldyreva, E. V.; Ahsbahs, H. L-Serine III at 8.0 GPa. </w:t>
      </w:r>
      <w:r w:rsidRPr="00D1281E">
        <w:rPr>
          <w:rFonts w:ascii="Times New Roman" w:hAnsi="Times New Roman" w:cs="Times New Roman"/>
          <w:i/>
          <w:iCs/>
          <w:noProof/>
          <w:sz w:val="18"/>
          <w:szCs w:val="18"/>
          <w:lang w:val="en-US"/>
        </w:rPr>
        <w:t>Acta Crystallogr. Sect. E Struct. Reports Online</w:t>
      </w:r>
      <w:r w:rsidRPr="00D1281E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D1281E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2006</w:t>
      </w:r>
      <w:r w:rsidRPr="00D1281E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, </w:t>
      </w:r>
      <w:r w:rsidRPr="00D1281E">
        <w:rPr>
          <w:rFonts w:ascii="Times New Roman" w:hAnsi="Times New Roman" w:cs="Times New Roman"/>
          <w:i/>
          <w:iCs/>
          <w:noProof/>
          <w:sz w:val="18"/>
          <w:szCs w:val="18"/>
          <w:lang w:val="en-US"/>
        </w:rPr>
        <w:t>62</w:t>
      </w:r>
      <w:r w:rsidRPr="00D1281E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 (9), 4052–4054.</w:t>
      </w:r>
    </w:p>
    <w:p w14:paraId="122BA006" w14:textId="6F7A7C75" w:rsidR="00DB529C" w:rsidRPr="00AA40CE" w:rsidRDefault="00711C0E" w:rsidP="00F8218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outlineLvl w:val="3"/>
        <w:rPr>
          <w:lang w:val="en-US"/>
        </w:rPr>
      </w:pPr>
      <w:r w:rsidRPr="00F8218E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Fisch, M.; Lanza, A.; Boldyreva, E.; Macchi, P.; Casati, N. Kinetic Control of High-Pressure Solid-State Phase Transitions: A Case Study on l-Serine. </w:t>
      </w:r>
      <w:r w:rsidRPr="00F8218E">
        <w:rPr>
          <w:rFonts w:ascii="Times New Roman" w:hAnsi="Times New Roman" w:cs="Times New Roman"/>
          <w:i/>
          <w:iCs/>
          <w:noProof/>
          <w:sz w:val="18"/>
          <w:szCs w:val="18"/>
          <w:lang w:val="en-US"/>
        </w:rPr>
        <w:t>J. Phys. Chem. C</w:t>
      </w:r>
      <w:r w:rsidRPr="00F8218E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F8218E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2015</w:t>
      </w:r>
      <w:r w:rsidRPr="00F8218E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, </w:t>
      </w:r>
      <w:r w:rsidRPr="00F8218E">
        <w:rPr>
          <w:rFonts w:ascii="Times New Roman" w:hAnsi="Times New Roman" w:cs="Times New Roman"/>
          <w:i/>
          <w:iCs/>
          <w:noProof/>
          <w:sz w:val="18"/>
          <w:szCs w:val="18"/>
          <w:lang w:val="en-US"/>
        </w:rPr>
        <w:t>119</w:t>
      </w:r>
      <w:r w:rsidRPr="00F8218E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 (32), 18611–18617. </w:t>
      </w:r>
    </w:p>
    <w:p w14:paraId="5E1D0BF7" w14:textId="77777777" w:rsidR="00AA40CE" w:rsidRDefault="00AA40CE" w:rsidP="00AA40CE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284"/>
        <w:outlineLvl w:val="3"/>
        <w:rPr>
          <w:rFonts w:ascii="Times New Roman" w:hAnsi="Times New Roman" w:cs="Times New Roman"/>
          <w:noProof/>
          <w:sz w:val="18"/>
          <w:szCs w:val="18"/>
          <w:lang w:val="en-US"/>
        </w:rPr>
      </w:pPr>
    </w:p>
    <w:p w14:paraId="5C448A74" w14:textId="77777777" w:rsidR="00AA40CE" w:rsidRPr="00AA40CE" w:rsidRDefault="00AA40CE" w:rsidP="00AA40CE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284" w:hanging="284"/>
        <w:outlineLvl w:val="3"/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en-US"/>
        </w:rPr>
      </w:pPr>
      <w:r w:rsidRPr="00AA40CE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This research was supported in part by PL-Grid infrastructure (grant no. PLG/2025/018105). </w:t>
      </w:r>
    </w:p>
    <w:p w14:paraId="4C8072E2" w14:textId="77777777" w:rsidR="00AA40CE" w:rsidRPr="00AA40CE" w:rsidRDefault="00AA40CE" w:rsidP="00AA40CE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284" w:hanging="284"/>
        <w:outlineLvl w:val="3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A40CE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en-US"/>
        </w:rPr>
        <w:t>This research was supported by the National Science Centre, grant No 2023/51/B/ST5/02843. </w:t>
      </w:r>
      <w:r w:rsidRPr="00AA40CE">
        <w:rPr>
          <w:rStyle w:val="eop"/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en-US"/>
        </w:rPr>
        <w:t> </w:t>
      </w:r>
    </w:p>
    <w:sectPr w:rsidR="00AA40CE" w:rsidRPr="00AA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+Times New Roman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B7F79"/>
    <w:multiLevelType w:val="hybridMultilevel"/>
    <w:tmpl w:val="AB52E8A8"/>
    <w:lvl w:ilvl="0" w:tplc="F8A68006">
      <w:start w:val="1"/>
      <w:numFmt w:val="decimal"/>
      <w:lvlText w:val="[%1]"/>
      <w:lvlJc w:val="left"/>
      <w:pPr>
        <w:ind w:left="720" w:hanging="360"/>
      </w:pPr>
      <w:rPr>
        <w:rFonts w:ascii="+Times New Roman" w:hAnsi="+Times New Roman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396"/>
    <w:multiLevelType w:val="hybridMultilevel"/>
    <w:tmpl w:val="AE28CCFC"/>
    <w:lvl w:ilvl="0" w:tplc="9D204564">
      <w:start w:val="1"/>
      <w:numFmt w:val="decimal"/>
      <w:lvlText w:val="[%1]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927861">
    <w:abstractNumId w:val="1"/>
  </w:num>
  <w:num w:numId="2" w16cid:durableId="33719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S0NDa1MDcwMzQxMzNV0lEKTi0uzszPAykwrAUAQ236tywAAAA="/>
  </w:docVars>
  <w:rsids>
    <w:rsidRoot w:val="00DB529C"/>
    <w:rsid w:val="00010127"/>
    <w:rsid w:val="00180FC7"/>
    <w:rsid w:val="001A15D3"/>
    <w:rsid w:val="0043219D"/>
    <w:rsid w:val="00585133"/>
    <w:rsid w:val="00657C7E"/>
    <w:rsid w:val="00672100"/>
    <w:rsid w:val="006C6B23"/>
    <w:rsid w:val="006F322F"/>
    <w:rsid w:val="006F63AC"/>
    <w:rsid w:val="00711C0E"/>
    <w:rsid w:val="007C06D0"/>
    <w:rsid w:val="00953D6C"/>
    <w:rsid w:val="00AA40CE"/>
    <w:rsid w:val="00D1281E"/>
    <w:rsid w:val="00DB529C"/>
    <w:rsid w:val="00F8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9B96"/>
  <w15:chartTrackingRefBased/>
  <w15:docId w15:val="{E7274C97-929F-408A-8343-06FAA682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5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5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5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5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5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5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5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52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52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52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52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52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2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5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5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5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5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52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52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52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5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52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529C"/>
    <w:rPr>
      <w:b/>
      <w:bCs/>
      <w:smallCaps/>
      <w:color w:val="0F4761" w:themeColor="accent1" w:themeShade="BF"/>
      <w:spacing w:val="5"/>
    </w:rPr>
  </w:style>
  <w:style w:type="character" w:customStyle="1" w:styleId="fadeinpfttw8">
    <w:name w:val="_fadein_pfttw_8"/>
    <w:basedOn w:val="Domylnaczcionkaakapitu"/>
    <w:rsid w:val="00DB529C"/>
  </w:style>
  <w:style w:type="paragraph" w:customStyle="1" w:styleId="BCAuthorAddress">
    <w:name w:val="BC_Author_Address"/>
    <w:basedOn w:val="Normalny"/>
    <w:next w:val="Normalny"/>
    <w:rsid w:val="0043219D"/>
    <w:pPr>
      <w:spacing w:after="240" w:line="480" w:lineRule="auto"/>
      <w:jc w:val="center"/>
    </w:pPr>
    <w:rPr>
      <w:rFonts w:ascii="Times" w:eastAsia="Times New Roman" w:hAnsi="Times" w:cs="Times New Roman"/>
      <w:kern w:val="0"/>
      <w:szCs w:val="20"/>
      <w:lang w:val="en-US"/>
      <w14:ligatures w14:val="none"/>
    </w:rPr>
  </w:style>
  <w:style w:type="table" w:styleId="Tabela-Siatka">
    <w:name w:val="Table Grid"/>
    <w:basedOn w:val="Standardowy"/>
    <w:uiPriority w:val="39"/>
    <w:rsid w:val="006C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knowledgement">
    <w:name w:val="Acknowledgement"/>
    <w:basedOn w:val="Normalny"/>
    <w:qFormat/>
    <w:rsid w:val="00AA40C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i/>
      <w:kern w:val="0"/>
      <w:sz w:val="20"/>
      <w:szCs w:val="20"/>
      <w:lang w:val="en-GB" w:eastAsia="de-DE"/>
      <w14:ligatures w14:val="none"/>
    </w:rPr>
  </w:style>
  <w:style w:type="character" w:customStyle="1" w:styleId="normaltextrun">
    <w:name w:val="normaltextrun"/>
    <w:basedOn w:val="Domylnaczcionkaakapitu"/>
    <w:rsid w:val="00AA40CE"/>
  </w:style>
  <w:style w:type="character" w:customStyle="1" w:styleId="eop">
    <w:name w:val="eop"/>
    <w:basedOn w:val="Domylnaczcionkaakapitu"/>
    <w:rsid w:val="00AA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Gryl</dc:creator>
  <cp:keywords/>
  <dc:description/>
  <cp:lastModifiedBy>Agnieszka Skórska-Stania</cp:lastModifiedBy>
  <cp:revision>2</cp:revision>
  <dcterms:created xsi:type="dcterms:W3CDTF">2025-05-12T18:16:00Z</dcterms:created>
  <dcterms:modified xsi:type="dcterms:W3CDTF">2025-05-12T18:16:00Z</dcterms:modified>
</cp:coreProperties>
</file>