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spacing w:before="240" w:after="60"/>
        <w:jc w:val="center"/>
        <w:rPr/>
      </w:pPr>
      <w:r>
        <w:rPr/>
        <w:t xml:space="preserve">Graphical interfaces for structure model refinement: Integration of </w:t>
      </w:r>
      <w:r>
        <w:rPr>
          <w:i/>
          <w:iCs/>
        </w:rPr>
        <w:t>Servalcat</w:t>
      </w:r>
      <w:r>
        <w:rPr/>
        <w:t xml:space="preserve"> and </w:t>
      </w:r>
      <w:r>
        <w:rPr>
          <w:i/>
          <w:iCs/>
        </w:rPr>
        <w:t>MetalCoord</w:t>
      </w:r>
      <w:r>
        <w:rPr/>
        <w:t xml:space="preserve"> in </w:t>
      </w:r>
      <w:r>
        <w:rPr>
          <w:rStyle w:val="DefaultParagraphFont"/>
          <w:i/>
          <w:iCs/>
        </w:rPr>
        <w:t>CCP4i2</w:t>
      </w:r>
      <w:r>
        <w:rPr/>
        <w:t xml:space="preserve"> and </w:t>
      </w:r>
      <w:r>
        <w:rPr>
          <w:rStyle w:val="DefaultParagraphFont"/>
          <w:i/>
          <w:iCs/>
        </w:rPr>
        <w:t>CCP-EM Doppio</w:t>
      </w:r>
    </w:p>
    <w:p>
      <w:pPr>
        <w:pStyle w:val="Heading2"/>
        <w:rPr/>
      </w:pPr>
      <w:r>
        <w:rPr>
          <w:sz w:val="22"/>
          <w:szCs w:val="22"/>
        </w:rPr>
        <w:t>M. Malý</w:t>
      </w:r>
      <w:r>
        <w:rPr>
          <w:rStyle w:val="DefaultParagraphFont"/>
          <w:position w:val="6"/>
          <w:sz w:val="22"/>
          <w:szCs w:val="22"/>
        </w:rPr>
        <w:t>1</w:t>
      </w:r>
      <w:r>
        <w:rPr>
          <w:sz w:val="22"/>
          <w:szCs w:val="22"/>
        </w:rPr>
        <w:t>, K. Yamashita</w:t>
      </w:r>
      <w:r>
        <w:rPr>
          <w:rStyle w:val="DefaultParagraphFont"/>
          <w:position w:val="6"/>
          <w:sz w:val="22"/>
          <w:szCs w:val="22"/>
        </w:rPr>
        <w:t>2</w:t>
      </w:r>
      <w:r>
        <w:rPr>
          <w:sz w:val="22"/>
          <w:szCs w:val="22"/>
        </w:rPr>
        <w:t>, K. H. Babai</w:t>
      </w:r>
      <w:r>
        <w:rPr>
          <w:rStyle w:val="DefaultParagraphFont"/>
          <w:position w:val="6"/>
          <w:sz w:val="22"/>
          <w:szCs w:val="22"/>
        </w:rPr>
        <w:t>3</w:t>
      </w:r>
      <w:r>
        <w:rPr>
          <w:sz w:val="22"/>
          <w:szCs w:val="22"/>
        </w:rPr>
        <w:t>, F. Long</w:t>
      </w:r>
      <w:r>
        <w:rPr>
          <w:rStyle w:val="DefaultParagraphFont"/>
          <w:position w:val="6"/>
          <w:sz w:val="22"/>
          <w:szCs w:val="22"/>
        </w:rPr>
        <w:t>1</w:t>
      </w:r>
      <w:r>
        <w:rPr>
          <w:sz w:val="22"/>
          <w:szCs w:val="22"/>
        </w:rPr>
        <w:t>, M. Wojdyr</w:t>
      </w:r>
      <w:r>
        <w:rPr>
          <w:rStyle w:val="DefaultParagraphFont"/>
          <w:position w:val="6"/>
          <w:sz w:val="22"/>
          <w:szCs w:val="22"/>
        </w:rPr>
        <w:t>4</w:t>
      </w:r>
      <w:r>
        <w:rPr>
          <w:sz w:val="22"/>
          <w:szCs w:val="22"/>
        </w:rPr>
        <w:t>, S. McNicholas</w:t>
      </w:r>
      <w:r>
        <w:rPr>
          <w:rStyle w:val="DefaultParagraphFont"/>
          <w:position w:val="6"/>
          <w:sz w:val="22"/>
          <w:szCs w:val="22"/>
        </w:rPr>
        <w:t>5</w:t>
      </w:r>
      <w:r>
        <w:rPr>
          <w:sz w:val="22"/>
          <w:szCs w:val="22"/>
        </w:rPr>
        <w:t>, P. Bond</w:t>
      </w:r>
      <w:r>
        <w:rPr>
          <w:rStyle w:val="DefaultParagraphFont"/>
          <w:position w:val="6"/>
          <w:sz w:val="22"/>
          <w:szCs w:val="22"/>
        </w:rPr>
        <w:t>5</w:t>
      </w:r>
      <w:r>
        <w:rPr>
          <w:sz w:val="22"/>
          <w:szCs w:val="22"/>
        </w:rPr>
        <w:t>, T. Burnley</w:t>
      </w:r>
      <w:r>
        <w:rPr>
          <w:rStyle w:val="DefaultParagraphFont"/>
          <w:position w:val="6"/>
          <w:sz w:val="22"/>
          <w:szCs w:val="22"/>
        </w:rPr>
        <w:t>6</w:t>
      </w:r>
      <w:r>
        <w:rPr>
          <w:sz w:val="22"/>
          <w:szCs w:val="22"/>
        </w:rPr>
        <w:t>, C. M. Palmer</w:t>
      </w:r>
      <w:r>
        <w:rPr>
          <w:rStyle w:val="DefaultParagraphFont"/>
          <w:position w:val="6"/>
          <w:sz w:val="22"/>
          <w:szCs w:val="22"/>
        </w:rPr>
        <w:t>6</w:t>
      </w:r>
      <w:r>
        <w:rPr>
          <w:sz w:val="22"/>
          <w:szCs w:val="22"/>
        </w:rPr>
        <w:t>, A. P. Joseph</w:t>
      </w:r>
      <w:r>
        <w:rPr>
          <w:rStyle w:val="DefaultParagraphFont"/>
          <w:position w:val="6"/>
          <w:sz w:val="22"/>
          <w:szCs w:val="22"/>
        </w:rPr>
        <w:t>6</w:t>
      </w:r>
      <w:r>
        <w:rPr>
          <w:sz w:val="22"/>
          <w:szCs w:val="22"/>
        </w:rPr>
        <w:t>, G. N. Murshudov</w:t>
      </w:r>
      <w:r>
        <w:rPr>
          <w:rStyle w:val="DefaultParagraphFont"/>
          <w:position w:val="6"/>
          <w:sz w:val="22"/>
          <w:szCs w:val="22"/>
        </w:rPr>
        <w:t>1,3</w:t>
      </w:r>
    </w:p>
    <w:p>
      <w:pPr>
        <w:pStyle w:val="Heading3"/>
        <w:rPr/>
      </w:pPr>
      <w:r>
        <w:rPr>
          <w:rStyle w:val="DefaultParagraphFont"/>
          <w:position w:val="6"/>
          <w:sz w:val="13"/>
          <w:lang w:eastAsia="de-DE"/>
        </w:rPr>
        <w:t>1</w:t>
      </w:r>
      <w:r>
        <w:rPr>
          <w:rStyle w:val="DefaultParagraphFont"/>
          <w:lang w:eastAsia="de-DE"/>
        </w:rPr>
        <w:t>MRC Laboratory of Molecular Biology, Francis Crick Avenue, Cambridge CB2 0QH, United Kingdom</w:t>
      </w:r>
    </w:p>
    <w:p>
      <w:pPr>
        <w:pStyle w:val="Heading3"/>
        <w:rPr/>
      </w:pPr>
      <w:r>
        <w:rPr>
          <w:rStyle w:val="DefaultParagraphFont"/>
          <w:position w:val="6"/>
          <w:sz w:val="13"/>
          <w:lang w:eastAsia="de-DE"/>
        </w:rPr>
        <w:t>2</w:t>
      </w:r>
      <w:r>
        <w:rPr>
          <w:rStyle w:val="DefaultParagraphFont"/>
          <w:lang w:eastAsia="de-DE"/>
        </w:rPr>
        <w:t>Structural Biology Division, Research Center for Advanced Science and Technology, The University of Tokyo, 4-6-1 Komaba, Meguro-ku, Tokyo 153-8904, Japan</w:t>
      </w:r>
    </w:p>
    <w:p>
      <w:pPr>
        <w:pStyle w:val="Heading3"/>
        <w:rPr/>
      </w:pPr>
      <w:r>
        <w:rPr>
          <w:rStyle w:val="DefaultParagraphFont"/>
          <w:position w:val="6"/>
          <w:sz w:val="13"/>
          <w:lang w:eastAsia="de-DE"/>
        </w:rPr>
        <w:t>3</w:t>
      </w:r>
      <w:r>
        <w:rPr>
          <w:rStyle w:val="DefaultParagraphFont"/>
          <w:lang w:eastAsia="de-DE"/>
        </w:rPr>
        <w:t>Institute of Molecular Biology and Biotechnology, Ministry of Science and Education, 11 Izzat Nabiyev, Baku, Azerbaijan</w:t>
      </w:r>
    </w:p>
    <w:p>
      <w:pPr>
        <w:pStyle w:val="Heading3"/>
        <w:rPr/>
      </w:pPr>
      <w:r>
        <w:rPr>
          <w:rStyle w:val="DefaultParagraphFont"/>
          <w:position w:val="6"/>
          <w:sz w:val="13"/>
          <w:lang w:eastAsia="de-DE"/>
        </w:rPr>
        <w:t>4</w:t>
      </w:r>
      <w:r>
        <w:rPr>
          <w:rStyle w:val="DefaultParagraphFont"/>
          <w:lang w:eastAsia="de-DE"/>
        </w:rPr>
        <w:t>Global Phasing Ltd, Cambridge, United Kingdom</w:t>
      </w:r>
    </w:p>
    <w:p>
      <w:pPr>
        <w:pStyle w:val="Heading3"/>
        <w:rPr/>
      </w:pPr>
      <w:r>
        <w:rPr>
          <w:rStyle w:val="DefaultParagraphFont"/>
          <w:position w:val="6"/>
          <w:sz w:val="13"/>
          <w:lang w:eastAsia="de-DE"/>
        </w:rPr>
        <w:t>5</w:t>
      </w:r>
      <w:r>
        <w:rPr>
          <w:rStyle w:val="DefaultParagraphFont"/>
          <w:lang w:eastAsia="de-DE"/>
        </w:rPr>
        <w:t>York Structural Biology Laboratory, Department of Chemistry, University of York, York YO10 5DD, United Kingdom</w:t>
      </w:r>
    </w:p>
    <w:p>
      <w:pPr>
        <w:pStyle w:val="Heading3"/>
        <w:rPr/>
      </w:pPr>
      <w:r>
        <w:rPr>
          <w:rStyle w:val="DefaultParagraphFont"/>
          <w:position w:val="6"/>
          <w:sz w:val="13"/>
          <w:lang w:eastAsia="de-DE"/>
        </w:rPr>
        <w:t>6</w:t>
      </w:r>
      <w:r>
        <w:rPr>
          <w:rStyle w:val="DefaultParagraphFont"/>
          <w:lang w:eastAsia="de-DE"/>
        </w:rPr>
        <w:t>Scientific Computing Department, STFC, Rutherford Appleton Laboratory, Fermi Ave, Harwell, Didcot OX11 0QX, United Kingdom</w:t>
      </w:r>
    </w:p>
    <w:p>
      <w:pPr>
        <w:pStyle w:val="Heading3"/>
        <w:rPr>
          <w:sz w:val="18"/>
          <w:szCs w:val="18"/>
        </w:rPr>
      </w:pPr>
      <w:r>
        <w:rPr>
          <w:rStyle w:val="DefaultParagraphFont"/>
          <w:lang w:eastAsia="de-DE"/>
        </w:rPr>
        <w:t>martin.maly@mrc-lmb.cam.ac.uk</w:t>
      </w:r>
    </w:p>
    <w:p>
      <w:pPr>
        <w:pStyle w:val="BodyText"/>
        <w:rPr/>
      </w:pPr>
      <w:r>
        <w:rPr>
          <w:rStyle w:val="DefaultParagraphFont"/>
          <w:color w:val="auto"/>
          <w:lang w:val="en-GB"/>
        </w:rPr>
        <w:t xml:space="preserve">The </w:t>
      </w:r>
      <w:r>
        <w:rPr>
          <w:rStyle w:val="DefaultParagraphFont"/>
          <w:i/>
          <w:iCs/>
          <w:color w:val="auto"/>
          <w:lang w:val="en-GB"/>
        </w:rPr>
        <w:t>CCP4</w:t>
      </w:r>
      <w:r>
        <w:rPr>
          <w:rStyle w:val="DefaultParagraphFont"/>
          <w:color w:val="auto"/>
          <w:lang w:val="en-GB"/>
        </w:rPr>
        <w:t xml:space="preserve"> [1] and </w:t>
      </w:r>
      <w:r>
        <w:rPr>
          <w:rStyle w:val="DefaultParagraphFont"/>
          <w:i/>
          <w:iCs/>
          <w:color w:val="auto"/>
          <w:lang w:val="en-GB"/>
        </w:rPr>
        <w:t>CCP-EM</w:t>
      </w:r>
      <w:r>
        <w:rPr>
          <w:rStyle w:val="DefaultParagraphFont"/>
          <w:color w:val="auto"/>
          <w:lang w:val="en-GB"/>
        </w:rPr>
        <w:t xml:space="preserve"> [2] suites distribute widely used software for macromolecular crystallography and cryo-electron microscopy (cryoEM). Here, we present recent developments that enhance atomic structure model refinement workflows.</w:t>
      </w:r>
    </w:p>
    <w:p>
      <w:pPr>
        <w:pStyle w:val="BodyText"/>
        <w:rPr/>
      </w:pPr>
      <w:r>
        <w:rPr>
          <w:rStyle w:val="DefaultParagraphFont"/>
          <w:i/>
          <w:iCs/>
          <w:color w:val="auto"/>
          <w:lang w:val="en-GB"/>
        </w:rPr>
        <w:t>Servalcat</w:t>
      </w:r>
      <w:r>
        <w:rPr>
          <w:rStyle w:val="DefaultParagraphFont"/>
          <w:color w:val="auto"/>
          <w:lang w:val="en-GB"/>
        </w:rPr>
        <w:t xml:space="preserve"> [3], a modern refinement program extending the methodologies established in </w:t>
      </w:r>
      <w:r>
        <w:rPr>
          <w:rStyle w:val="DefaultParagraphFont"/>
          <w:i/>
          <w:iCs/>
          <w:color w:val="auto"/>
          <w:lang w:val="en-GB"/>
        </w:rPr>
        <w:t>Refmac5/Refmacat</w:t>
      </w:r>
      <w:r>
        <w:rPr>
          <w:rStyle w:val="DefaultParagraphFont"/>
          <w:color w:val="auto"/>
          <w:lang w:val="en-GB"/>
        </w:rPr>
        <w:t xml:space="preserve"> [4], has been implemented in </w:t>
      </w:r>
      <w:r>
        <w:rPr>
          <w:rStyle w:val="DefaultParagraphFont"/>
          <w:i/>
          <w:iCs/>
          <w:color w:val="auto"/>
          <w:lang w:val="en-GB"/>
        </w:rPr>
        <w:t>CCP4i2</w:t>
      </w:r>
      <w:r>
        <w:rPr>
          <w:rStyle w:val="DefaultParagraphFont"/>
          <w:color w:val="auto"/>
          <w:lang w:val="en-GB"/>
        </w:rPr>
        <w:t xml:space="preserve"> and </w:t>
      </w:r>
      <w:r>
        <w:rPr>
          <w:rStyle w:val="DefaultParagraphFont"/>
          <w:i/>
          <w:iCs/>
          <w:color w:val="auto"/>
          <w:lang w:val="en-GB"/>
        </w:rPr>
        <w:t>CCP-EM Doppio</w:t>
      </w:r>
      <w:r>
        <w:rPr>
          <w:rStyle w:val="DefaultParagraphFont"/>
          <w:color w:val="auto"/>
          <w:lang w:val="en-GB"/>
        </w:rPr>
        <w:t>. The</w:t>
      </w:r>
      <w:r>
        <w:rPr>
          <w:rStyle w:val="DefaultParagraphFont"/>
          <w:color w:val="auto"/>
          <w:lang w:val="en-GB"/>
        </w:rPr>
        <w:t>se</w:t>
      </w:r>
      <w:r>
        <w:rPr>
          <w:rStyle w:val="DefaultParagraphFont"/>
          <w:color w:val="auto"/>
          <w:lang w:val="en-GB"/>
        </w:rPr>
        <w:t xml:space="preserve"> new graphical interfaces provide detailed reports including refinement progress, validation metrics, geometry outliers and B-value histograms to guide users to optimise their refinement strategy and subsequent atomic structure. To improve model geometry and stabilise refinement,</w:t>
      </w:r>
      <w:r>
        <w:rPr>
          <w:rStyle w:val="DefaultParagraphFont"/>
          <w:color w:val="000000"/>
          <w:shd w:fill="auto" w:val="clear"/>
          <w:lang w:val="en-GB"/>
        </w:rPr>
        <w:t xml:space="preserve"> </w:t>
      </w:r>
      <w:r>
        <w:rPr>
          <w:rStyle w:val="DefaultParagraphFont"/>
          <w:i/>
          <w:iCs/>
          <w:color w:val="000000"/>
          <w:shd w:fill="auto" w:val="clear"/>
          <w:lang w:val="en-GB"/>
        </w:rPr>
        <w:t>Servalcat</w:t>
      </w:r>
      <w:r>
        <w:rPr>
          <w:rStyle w:val="DefaultParagraphFont"/>
          <w:i w:val="false"/>
          <w:iCs w:val="false"/>
          <w:color w:val="000000"/>
          <w:shd w:fill="auto" w:val="clear"/>
          <w:lang w:val="en-GB"/>
        </w:rPr>
        <w:t xml:space="preserve"> is integrated in a pipeline </w:t>
      </w:r>
      <w:r>
        <w:rPr>
          <w:rStyle w:val="DefaultParagraphFont"/>
          <w:color w:val="000000"/>
          <w:shd w:fill="auto" w:val="clear"/>
          <w:lang w:val="en-GB"/>
        </w:rPr>
        <w:t xml:space="preserve">with restraint-generating programs such as </w:t>
      </w:r>
      <w:r>
        <w:rPr>
          <w:rStyle w:val="DefaultParagraphFont"/>
          <w:i/>
          <w:iCs/>
          <w:color w:val="000000"/>
          <w:shd w:fill="auto" w:val="clear"/>
          <w:lang w:val="en-GB"/>
        </w:rPr>
        <w:t>ProSMART</w:t>
      </w:r>
      <w:r>
        <w:rPr>
          <w:rStyle w:val="DefaultParagraphFont"/>
          <w:color w:val="000000"/>
          <w:shd w:fill="auto" w:val="clear"/>
          <w:lang w:val="en-GB"/>
        </w:rPr>
        <w:t xml:space="preserve"> and </w:t>
      </w:r>
      <w:r>
        <w:rPr>
          <w:rStyle w:val="DefaultParagraphFont"/>
          <w:i/>
          <w:iCs/>
          <w:color w:val="000000"/>
          <w:shd w:fill="auto" w:val="clear"/>
          <w:lang w:val="en-GB"/>
        </w:rPr>
        <w:t>MetalCoord</w:t>
      </w:r>
      <w:r>
        <w:rPr>
          <w:rStyle w:val="DefaultParagraphFont"/>
          <w:i w:val="false"/>
          <w:iCs w:val="false"/>
          <w:color w:val="000000"/>
          <w:shd w:fill="auto" w:val="clear"/>
          <w:lang w:val="en-GB"/>
        </w:rPr>
        <w:t xml:space="preserve"> [5]. </w:t>
      </w:r>
      <w:r>
        <w:rPr>
          <w:rStyle w:val="DefaultParagraphFont"/>
          <w:color w:val="auto"/>
          <w:lang w:val="en-GB"/>
        </w:rPr>
        <w:t>Specifically for crystal structures (</w:t>
      </w:r>
      <w:r>
        <w:rPr>
          <w:rStyle w:val="DefaultParagraphFont"/>
          <w:i/>
          <w:iCs/>
          <w:color w:val="auto"/>
          <w:lang w:val="en-GB"/>
        </w:rPr>
        <w:t>refine_xtal_norefmac</w:t>
      </w:r>
      <w:r>
        <w:rPr>
          <w:rStyle w:val="DefaultParagraphFont"/>
          <w:color w:val="auto"/>
          <w:lang w:val="en-GB"/>
        </w:rPr>
        <w:t xml:space="preserve"> mode), </w:t>
      </w:r>
      <w:r>
        <w:rPr>
          <w:rStyle w:val="DefaultParagraphFont"/>
          <w:i/>
          <w:iCs/>
          <w:color w:val="auto"/>
          <w:lang w:val="en-GB"/>
        </w:rPr>
        <w:t>Servalcat</w:t>
      </w:r>
      <w:r>
        <w:rPr>
          <w:rStyle w:val="DefaultParagraphFont"/>
          <w:i w:val="false"/>
          <w:iCs w:val="false"/>
          <w:color w:val="auto"/>
          <w:lang w:val="en-GB"/>
        </w:rPr>
        <w:t xml:space="preserve"> supports </w:t>
      </w:r>
      <w:r>
        <w:rPr>
          <w:rStyle w:val="DefaultParagraphFont"/>
          <w:color w:val="auto"/>
          <w:lang w:val="en-GB"/>
        </w:rPr>
        <w:t>direct refinement against reflection intensities. This approach improves the quality of density maps as it avoids the French-Wilson calculation of structure factor amplitudes which can introduce additional error</w:t>
      </w:r>
      <w:r>
        <w:rPr>
          <w:rStyle w:val="DefaultParagraphFont"/>
          <w:color w:val="auto"/>
          <w:lang w:val="en-GB"/>
        </w:rPr>
        <w:t>s</w:t>
      </w:r>
      <w:r>
        <w:rPr>
          <w:rStyle w:val="DefaultParagraphFont"/>
          <w:color w:val="auto"/>
          <w:lang w:val="en-GB"/>
        </w:rPr>
        <w:t>. The twin refinement algorithm was significantly revised. For cryoEM single particle analysis (</w:t>
      </w:r>
      <w:r>
        <w:rPr>
          <w:rStyle w:val="DefaultParagraphFont"/>
          <w:i/>
          <w:iCs/>
          <w:color w:val="auto"/>
          <w:lang w:val="en-GB"/>
        </w:rPr>
        <w:t>refine_spa_norefmac</w:t>
      </w:r>
      <w:r>
        <w:rPr>
          <w:rStyle w:val="DefaultParagraphFont"/>
          <w:color w:val="auto"/>
          <w:lang w:val="en-GB"/>
        </w:rPr>
        <w:t xml:space="preserve"> mode), </w:t>
      </w:r>
      <w:r>
        <w:rPr>
          <w:rStyle w:val="DefaultParagraphFont"/>
          <w:i/>
          <w:iCs/>
          <w:color w:val="auto"/>
          <w:lang w:val="en-GB"/>
        </w:rPr>
        <w:t>Servalcat</w:t>
      </w:r>
      <w:r>
        <w:rPr>
          <w:rStyle w:val="DefaultParagraphFont"/>
          <w:i w:val="false"/>
          <w:iCs w:val="false"/>
          <w:color w:val="auto"/>
          <w:lang w:val="en-GB"/>
        </w:rPr>
        <w:t xml:space="preserve"> s</w:t>
      </w:r>
      <w:r>
        <w:rPr>
          <w:rStyle w:val="DefaultParagraphFont"/>
          <w:color w:val="auto"/>
          <w:lang w:val="en-GB"/>
        </w:rPr>
        <w:t xml:space="preserve">upports advanced features including a weighted and sharpened </w:t>
      </w:r>
      <w:r>
        <w:rPr>
          <w:rStyle w:val="DefaultParagraphFont"/>
          <w:i/>
          <w:iCs/>
          <w:color w:val="auto"/>
          <w:lang w:val="en-GB"/>
        </w:rPr>
        <w:t>F</w:t>
      </w:r>
      <w:r>
        <w:rPr>
          <w:rStyle w:val="DefaultParagraphFont"/>
          <w:i w:val="false"/>
          <w:iCs w:val="false"/>
          <w:color w:val="auto"/>
          <w:position w:val="-1"/>
          <w:sz w:val="13"/>
          <w:lang w:val="en-GB"/>
        </w:rPr>
        <w:t>O</w:t>
      </w:r>
      <w:r>
        <w:rPr>
          <w:rStyle w:val="DefaultParagraphFont"/>
          <w:color w:val="auto"/>
          <w:lang w:val="en-GB"/>
        </w:rPr>
        <w:t xml:space="preserve"> – </w:t>
      </w:r>
      <w:r>
        <w:rPr>
          <w:rStyle w:val="DefaultParagraphFont"/>
          <w:i/>
          <w:iCs/>
          <w:color w:val="auto"/>
          <w:lang w:val="en-GB"/>
        </w:rPr>
        <w:t>F</w:t>
      </w:r>
      <w:r>
        <w:rPr>
          <w:rStyle w:val="DefaultParagraphFont"/>
          <w:i/>
          <w:iCs/>
          <w:color w:val="auto"/>
          <w:position w:val="-1"/>
          <w:sz w:val="13"/>
          <w:lang w:val="en-GB"/>
        </w:rPr>
        <w:t>C</w:t>
      </w:r>
      <w:r>
        <w:rPr>
          <w:rStyle w:val="DefaultParagraphFont"/>
          <w:color w:val="auto"/>
          <w:lang w:val="en-GB"/>
        </w:rPr>
        <w:t xml:space="preserve"> difference map </w:t>
      </w:r>
      <w:r>
        <w:rPr>
          <w:rStyle w:val="DefaultParagraphFont"/>
          <w:color w:val="auto"/>
          <w:lang w:val="en-GB"/>
        </w:rPr>
        <w:t xml:space="preserve">to inspect the agreement between model and data, </w:t>
      </w:r>
      <w:r>
        <w:rPr>
          <w:rStyle w:val="DefaultParagraphFont"/>
          <w:color w:val="auto"/>
          <w:lang w:val="en-GB"/>
        </w:rPr>
        <w:t xml:space="preserve">and cross-validation using two half-maps </w:t>
      </w:r>
      <w:r>
        <w:rPr>
          <w:rStyle w:val="DefaultParagraphFont"/>
          <w:color w:val="auto"/>
          <w:lang w:val="en-GB"/>
        </w:rPr>
        <w:t>for checking potential overfitting</w:t>
      </w:r>
      <w:r>
        <w:rPr>
          <w:rStyle w:val="DefaultParagraphFont"/>
          <w:color w:val="auto"/>
          <w:lang w:val="en-GB"/>
        </w:rPr>
        <w:t xml:space="preserve">. </w:t>
      </w:r>
      <w:r>
        <w:rPr>
          <w:rStyle w:val="DefaultParagraphFont"/>
          <w:color w:val="auto"/>
          <w:lang w:val="en-GB"/>
        </w:rPr>
        <w:t xml:space="preserve">Where applicable, a structure can be refined under symmetry constraints (helical or point group), reducing computational time and also simplifying manual model building. </w:t>
      </w:r>
      <w:r>
        <w:rPr>
          <w:rStyle w:val="DefaultParagraphFont"/>
          <w:color w:val="auto"/>
          <w:lang w:val="en-GB"/>
        </w:rPr>
        <w:t>A mask can be automatically generated from the model.</w:t>
      </w:r>
    </w:p>
    <w:p>
      <w:pPr>
        <w:pStyle w:val="BodyText"/>
        <w:rPr/>
      </w:pPr>
      <w:r>
        <w:rPr>
          <w:rStyle w:val="DefaultParagraphFont"/>
          <w:i w:val="false"/>
          <w:iCs w:val="false"/>
          <w:color w:val="auto"/>
          <w:lang w:val="en-GB"/>
        </w:rPr>
        <w:t xml:space="preserve">The </w:t>
      </w:r>
      <w:r>
        <w:rPr>
          <w:rStyle w:val="DefaultParagraphFont"/>
          <w:i/>
          <w:iCs/>
          <w:color w:val="auto"/>
          <w:lang w:val="en-GB"/>
        </w:rPr>
        <w:t>MetalCoord</w:t>
      </w:r>
      <w:r>
        <w:rPr>
          <w:rStyle w:val="DefaultParagraphFont"/>
          <w:color w:val="auto"/>
          <w:lang w:val="en-GB"/>
        </w:rPr>
        <w:t xml:space="preserve"> program [5] addresses the longstanding challenge of modelling and refinement of metal coordination environments in mac</w:t>
      </w:r>
      <w:r>
        <w:rPr>
          <w:rStyle w:val="DefaultParagraphFont"/>
          <w:color w:val="000000"/>
          <w:shd w:fill="auto" w:val="clear"/>
          <w:lang w:val="en-GB"/>
        </w:rPr>
        <w:t xml:space="preserve">romolecular structures. Comprehensive analysis of coordination geometries is carried out using the data from the Crystallography Open Database (COD) [6] as a reference. The program generates interatomic distance and angle restraints, describing ideal stereochemistry, which can then be used in the common model building and refinement programs such as </w:t>
      </w:r>
      <w:r>
        <w:rPr>
          <w:rStyle w:val="DefaultParagraphFont"/>
          <w:i/>
          <w:iCs/>
          <w:color w:val="000000"/>
          <w:shd w:fill="auto" w:val="clear"/>
          <w:lang w:val="en-GB"/>
        </w:rPr>
        <w:t>Servalcat</w:t>
      </w:r>
      <w:r>
        <w:rPr>
          <w:rStyle w:val="DefaultParagraphFont"/>
          <w:i w:val="false"/>
          <w:iCs w:val="false"/>
          <w:color w:val="000000"/>
          <w:shd w:fill="auto" w:val="clear"/>
          <w:lang w:val="en-GB"/>
        </w:rPr>
        <w:t xml:space="preserve"> [3]</w:t>
      </w:r>
      <w:r>
        <w:rPr>
          <w:rStyle w:val="DefaultParagraphFont"/>
          <w:color w:val="000000"/>
          <w:shd w:fill="auto" w:val="clear"/>
          <w:lang w:val="en-GB"/>
        </w:rPr>
        <w:t xml:space="preserve">, </w:t>
      </w:r>
      <w:r>
        <w:rPr>
          <w:rStyle w:val="DefaultParagraphFont"/>
          <w:i/>
          <w:iCs/>
          <w:color w:val="000000"/>
          <w:shd w:fill="auto" w:val="clear"/>
          <w:lang w:val="en-GB"/>
        </w:rPr>
        <w:t>Refmac5/Refmacat</w:t>
      </w:r>
      <w:r>
        <w:rPr>
          <w:rStyle w:val="DefaultParagraphFont"/>
          <w:i w:val="false"/>
          <w:iCs w:val="false"/>
          <w:color w:val="000000"/>
          <w:shd w:fill="auto" w:val="clear"/>
          <w:lang w:val="en-GB"/>
        </w:rPr>
        <w:t xml:space="preserve"> [4]</w:t>
      </w:r>
      <w:r>
        <w:rPr>
          <w:rStyle w:val="DefaultParagraphFont"/>
          <w:color w:val="000000"/>
          <w:shd w:fill="auto" w:val="clear"/>
          <w:lang w:val="en-GB"/>
        </w:rPr>
        <w:t xml:space="preserve">, </w:t>
      </w:r>
      <w:r>
        <w:rPr>
          <w:rStyle w:val="DefaultParagraphFont"/>
          <w:i/>
          <w:iCs/>
          <w:color w:val="000000"/>
          <w:shd w:fill="auto" w:val="clear"/>
          <w:lang w:val="en-GB"/>
        </w:rPr>
        <w:t>phenix.refine</w:t>
      </w:r>
      <w:r>
        <w:rPr>
          <w:rStyle w:val="DefaultParagraphFont"/>
          <w:color w:val="000000"/>
          <w:shd w:fill="auto" w:val="clear"/>
          <w:lang w:val="en-GB"/>
        </w:rPr>
        <w:t xml:space="preserve"> and </w:t>
      </w:r>
      <w:r>
        <w:rPr>
          <w:rStyle w:val="DefaultParagraphFont"/>
          <w:i/>
          <w:iCs/>
          <w:color w:val="000000"/>
          <w:shd w:fill="auto" w:val="clear"/>
          <w:lang w:val="en-GB"/>
        </w:rPr>
        <w:t>Coot</w:t>
      </w:r>
      <w:r>
        <w:rPr>
          <w:rStyle w:val="DefaultParagraphFont"/>
          <w:color w:val="000000"/>
          <w:shd w:fill="auto" w:val="clear"/>
          <w:lang w:val="en-GB"/>
        </w:rPr>
        <w:t xml:space="preserve">. </w:t>
      </w:r>
      <w:r>
        <w:rPr>
          <w:rStyle w:val="DefaultParagraphFont"/>
          <w:i w:val="false"/>
          <w:iCs w:val="false"/>
          <w:shd w:fill="auto" w:val="clear"/>
          <w:lang w:val="en-GB"/>
        </w:rPr>
        <w:t xml:space="preserve">Moreover, </w:t>
      </w:r>
      <w:r>
        <w:rPr>
          <w:rStyle w:val="DefaultParagraphFont"/>
          <w:i/>
          <w:iCs/>
          <w:shd w:fill="auto" w:val="clear"/>
          <w:lang w:val="en-GB"/>
        </w:rPr>
        <w:t>MetalCoord</w:t>
      </w:r>
      <w:r>
        <w:rPr>
          <w:rStyle w:val="DefaultParagraphFont"/>
          <w:i w:val="false"/>
          <w:iCs w:val="false"/>
          <w:shd w:fill="auto" w:val="clear"/>
          <w:lang w:val="en-GB"/>
        </w:rPr>
        <w:t xml:space="preserve"> has been implemented into the </w:t>
      </w:r>
      <w:r>
        <w:rPr>
          <w:rStyle w:val="DefaultParagraphFont"/>
          <w:i/>
          <w:iCs/>
          <w:shd w:fill="auto" w:val="clear"/>
          <w:lang w:val="en-GB"/>
        </w:rPr>
        <w:t>AceDRG</w:t>
      </w:r>
      <w:r>
        <w:rPr>
          <w:rStyle w:val="DefaultParagraphFont"/>
          <w:i w:val="false"/>
          <w:iCs w:val="false"/>
          <w:shd w:fill="auto" w:val="clear"/>
          <w:lang w:val="en-GB"/>
        </w:rPr>
        <w:t xml:space="preserve"> program [7] to enhance</w:t>
      </w:r>
      <w:r>
        <w:rPr>
          <w:rStyle w:val="DefaultParagraphFont"/>
          <w:i w:val="false"/>
          <w:iCs w:val="false"/>
          <w:lang w:val="en-GB"/>
        </w:rPr>
        <w:t xml:space="preserve"> </w:t>
      </w:r>
      <w:r>
        <w:rPr>
          <w:rStyle w:val="DefaultParagraphFont"/>
          <w:i w:val="false"/>
          <w:iCs w:val="false"/>
          <w:shd w:fill="auto" w:val="clear"/>
          <w:lang w:val="en-GB"/>
        </w:rPr>
        <w:t>gen</w:t>
      </w:r>
      <w:r>
        <w:rPr>
          <w:rStyle w:val="DefaultParagraphFont"/>
          <w:i w:val="false"/>
          <w:iCs w:val="false"/>
          <w:lang w:val="en-GB"/>
        </w:rPr>
        <w:t xml:space="preserve">eration of stereochemical dictionaries. The monomer library with updated dictionaries for all the metal-containing ligands is available in the most recent release of the </w:t>
      </w:r>
      <w:r>
        <w:rPr>
          <w:rStyle w:val="DefaultParagraphFont"/>
          <w:i/>
          <w:iCs/>
          <w:lang w:val="en-GB"/>
        </w:rPr>
        <w:t>CCP4</w:t>
      </w:r>
      <w:r>
        <w:rPr>
          <w:rStyle w:val="DefaultParagraphFont"/>
          <w:i w:val="false"/>
          <w:iCs w:val="false"/>
          <w:lang w:val="en-GB"/>
        </w:rPr>
        <w:t xml:space="preserve"> suite and via GitHub (</w:t>
      </w:r>
      <w:r>
        <w:rPr>
          <w:rStyle w:val="DefaultParagraphFont"/>
          <w:i/>
          <w:iCs/>
          <w:lang w:val="en-GB"/>
        </w:rPr>
        <w:t>https://github.com/MonomerLibrary/monomers)</w:t>
      </w:r>
      <w:r>
        <w:rPr>
          <w:rStyle w:val="DefaultParagraphFont"/>
          <w:i w:val="false"/>
          <w:iCs w:val="false"/>
          <w:lang w:val="en-GB"/>
        </w:rPr>
        <w:t>.</w:t>
      </w:r>
    </w:p>
    <w:p>
      <w:pPr>
        <w:pStyle w:val="Heading4"/>
        <w:rPr/>
      </w:pPr>
      <w:r>
        <w:rPr/>
        <w:t xml:space="preserve">[1] Agirre, J. </w:t>
      </w:r>
      <w:r>
        <w:rPr>
          <w:rStyle w:val="DefaultParagraphFont"/>
          <w:i/>
          <w:iCs/>
        </w:rPr>
        <w:t>et al</w:t>
      </w:r>
      <w:r>
        <w:rPr/>
        <w:t xml:space="preserve">. (2023). </w:t>
      </w:r>
      <w:r>
        <w:rPr>
          <w:rStyle w:val="DefaultParagraphFont"/>
          <w:i/>
          <w:iCs/>
        </w:rPr>
        <w:t>Acta Cryst. D</w:t>
      </w:r>
      <w:r>
        <w:rPr>
          <w:rStyle w:val="DefaultParagraphFont"/>
          <w:b/>
        </w:rPr>
        <w:t>79</w:t>
      </w:r>
      <w:r>
        <w:rPr/>
        <w:t>, 449-461.</w:t>
      </w:r>
    </w:p>
    <w:p>
      <w:pPr>
        <w:pStyle w:val="Heading4"/>
        <w:rPr/>
      </w:pPr>
      <w:r>
        <w:rPr/>
        <w:t xml:space="preserve">[2] Burnley, T., Palmer, C. M., Winn, M. (2017). </w:t>
      </w:r>
      <w:r>
        <w:rPr>
          <w:rStyle w:val="DefaultParagraphFont"/>
          <w:i/>
          <w:iCs/>
        </w:rPr>
        <w:t>Acta Cryst. D</w:t>
      </w:r>
      <w:r>
        <w:rPr>
          <w:rStyle w:val="DefaultParagraphFont"/>
          <w:b/>
        </w:rPr>
        <w:t>73</w:t>
      </w:r>
      <w:r>
        <w:rPr/>
        <w:t>, 469-477.</w:t>
      </w:r>
    </w:p>
    <w:p>
      <w:pPr>
        <w:pStyle w:val="Heading4"/>
        <w:rPr/>
      </w:pPr>
      <w:r>
        <w:rPr/>
        <w:t xml:space="preserve">[3] Yamashita, K., Palmer, C. M., Burnley, T., Murshudov, G. N. (2021). </w:t>
      </w:r>
      <w:r>
        <w:rPr>
          <w:rStyle w:val="DefaultParagraphFont"/>
          <w:i/>
          <w:iCs/>
        </w:rPr>
        <w:t>Acta Cryst. D</w:t>
      </w:r>
      <w:r>
        <w:rPr>
          <w:rStyle w:val="DefaultParagraphFont"/>
          <w:b/>
        </w:rPr>
        <w:t>77</w:t>
      </w:r>
      <w:r>
        <w:rPr/>
        <w:t>, 1282-1291.</w:t>
      </w:r>
    </w:p>
    <w:p>
      <w:pPr>
        <w:pStyle w:val="Heading4"/>
        <w:rPr/>
      </w:pPr>
      <w:r>
        <w:rPr/>
        <w:t xml:space="preserve">[4] Yamashita, K., Wojdyr, M., Long, F., Nicholls, R. A., Murshudov, G. N. (2023). </w:t>
      </w:r>
      <w:r>
        <w:rPr>
          <w:rStyle w:val="DefaultParagraphFont"/>
          <w:i/>
          <w:iCs/>
        </w:rPr>
        <w:t>Acta Cryst. D</w:t>
      </w:r>
      <w:r>
        <w:rPr>
          <w:rStyle w:val="DefaultParagraphFont"/>
          <w:b/>
        </w:rPr>
        <w:t>79</w:t>
      </w:r>
      <w:r>
        <w:rPr/>
        <w:t>, 368-373.</w:t>
      </w:r>
    </w:p>
    <w:p>
      <w:pPr>
        <w:pStyle w:val="Heading4"/>
        <w:rPr/>
      </w:pPr>
      <w:r>
        <w:rPr/>
        <w:t xml:space="preserve">[5] Babai, K. H., Long, F., Malý, M., Yamashita, K., Murshudov, G. N. (2024). </w:t>
      </w:r>
      <w:r>
        <w:rPr>
          <w:rStyle w:val="DefaultParagraphFont"/>
          <w:i/>
          <w:iCs/>
        </w:rPr>
        <w:t>Acta Cryst. D</w:t>
      </w:r>
      <w:r>
        <w:rPr>
          <w:rStyle w:val="DefaultParagraphFont"/>
          <w:b/>
        </w:rPr>
        <w:t>80</w:t>
      </w:r>
      <w:r>
        <w:rPr/>
        <w:t>, 821-833.</w:t>
      </w:r>
    </w:p>
    <w:p>
      <w:pPr>
        <w:pStyle w:val="Heading4"/>
        <w:rPr/>
      </w:pPr>
      <w:r>
        <w:rPr/>
        <w:t xml:space="preserve">[6] Gražulis, S., Chateigner, D., Downs, R. T., Yokochi, A. F. T., Quirós, M., Lutterotti, L., Manakova, E., Butkus, J., Moeck, P., Le Bail, A. (2009). </w:t>
      </w:r>
      <w:r>
        <w:rPr>
          <w:rStyle w:val="DefaultParagraphFont"/>
          <w:i/>
          <w:iCs/>
        </w:rPr>
        <w:t>J. Appl. Cryst.</w:t>
      </w:r>
      <w:r>
        <w:rPr/>
        <w:t xml:space="preserve"> </w:t>
      </w:r>
      <w:r>
        <w:rPr>
          <w:rStyle w:val="DefaultParagraphFont"/>
          <w:b/>
        </w:rPr>
        <w:t>42</w:t>
      </w:r>
      <w:r>
        <w:rPr/>
        <w:t>, 726-729.</w:t>
      </w:r>
    </w:p>
    <w:p>
      <w:pPr>
        <w:pStyle w:val="Heading4"/>
        <w:rPr/>
      </w:pPr>
      <w:r>
        <w:rPr/>
        <w:t xml:space="preserve">[7] Long, F., Nicholls, R. A., Emsley, P., Gražulis, S., Merkys, A., Vaitkus, A., Murshudov, G. N. (2017). </w:t>
      </w:r>
      <w:r>
        <w:rPr>
          <w:rStyle w:val="DefaultParagraphFont"/>
          <w:i/>
          <w:iCs/>
        </w:rPr>
        <w:t>Acta Cryst. D</w:t>
      </w:r>
      <w:r>
        <w:rPr>
          <w:rStyle w:val="DefaultParagraphFont"/>
          <w:b/>
        </w:rPr>
        <w:t>73</w:t>
      </w:r>
      <w:r>
        <w:rPr/>
        <w:t>, 112-122.</w:t>
      </w:r>
    </w:p>
    <w:p>
      <w:pPr>
        <w:pStyle w:val="Acknowledgement"/>
        <w:spacing w:before="0" w:after="120"/>
        <w:rPr/>
      </w:pPr>
      <w:r>
        <w:rPr>
          <w:lang w:val="en-GB" w:eastAsia="cs-CZ"/>
        </w:rPr>
        <w:t>This work was supported by the BBSRC (grant No.BB/Y008839/1; MM, GNM), the STFC (grant No. 8521412, MM) and the Medical Research Council Partnership (grant No. MR/V000403/1; TB, CMP, APJ).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720" w:right="720" w:gutter="0" w:header="708" w:top="765" w:footer="708" w:bottom="765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Acta Cryst. (2025). A81, e1</w:t>
    </w:r>
  </w:p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Acta Cryst. (2025). A81, e1</w:t>
    </w:r>
  </w:p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>
        <w:b/>
        <w:bCs/>
      </w:rPr>
      <w:t>MS</w:t>
    </w:r>
    <w:r>
      <w:rPr/>
      <w:tab/>
    </w:r>
    <w:r>
      <w:rPr>
        <w:b/>
        <w:bCs/>
      </w:rPr>
      <w:t>Microsymposium</w:t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>
        <w:b/>
        <w:bCs/>
      </w:rPr>
      <w:t>MS</w:t>
    </w:r>
    <w:r>
      <w:rPr/>
      <w:tab/>
    </w:r>
    <w:r>
      <w:rPr>
        <w:b/>
        <w:bCs/>
      </w:rPr>
      <w:t>Microsymposium</w:t>
    </w:r>
    <w:r>
      <w:rPr/>
      <w:tab/>
    </w:r>
  </w:p>
</w:hdr>
</file>

<file path=word/settings.xml><?xml version="1.0" encoding="utf-8"?>
<w:settings xmlns:w="http://schemas.openxmlformats.org/wordprocessingml/2006/main">
  <w:zoom w:percent="140"/>
  <w:embedSystemFonts/>
  <w:defaultTabStop w:val="720"/>
  <w:autoHyphenation w:val="true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5275"/>
    <w:pPr>
      <w:widowControl/>
      <w:suppressAutoHyphens w:val="true"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de-DE" w:bidi="ar-SA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 w:val="true"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 w:val="true"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 w:val="true"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 w:val="true"/>
      <w:ind w:hanging="567" w:left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before="0" w:after="60"/>
      <w:jc w:val="center"/>
      <w:outlineLvl w:val="5"/>
    </w:pPr>
    <w:rPr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styleId="Heading2Char" w:customStyle="1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styleId="Heading3Char" w:customStyle="1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styleId="Heading4Char" w:customStyle="1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styleId="HTMLAddressChar" w:customStyle="1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styleId="Heading5Char" w:customStyle="1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styleId="Heading6Char" w:customStyle="1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styleId="HeaderChar" w:customStyle="1">
    <w:name w:val="Header Char"/>
    <w:link w:val="Header"/>
    <w:uiPriority w:val="99"/>
    <w:qFormat/>
    <w:rsid w:val="00d13351"/>
    <w:rPr>
      <w:lang w:val="en-GB" w:eastAsia="de-DE"/>
    </w:rPr>
  </w:style>
  <w:style w:type="character" w:styleId="FooterChar" w:customStyle="1">
    <w:name w:val="Footer Char"/>
    <w:link w:val="Footer"/>
    <w:uiPriority w:val="99"/>
    <w:qFormat/>
    <w:rsid w:val="00d13351"/>
    <w:rPr>
      <w:lang w:val="en-GB" w:eastAsia="de-DE"/>
    </w:rPr>
  </w:style>
  <w:style w:type="character" w:styleId="BalloonTextChar" w:customStyle="1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Acknowledgement" w:customStyle="1">
    <w:name w:val="Acknowledgement"/>
    <w:basedOn w:val="Normal"/>
    <w:qFormat/>
    <w:rsid w:val="00777da8"/>
    <w:pPr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pPr/>
    <w:rPr>
      <w:i/>
      <w:iCs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263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Application>LibreOffice/24.2.7.2$Linux_X86_64 LibreOffice_project/420$Build-2</Application>
  <AppVersion>15.0000</AppVersion>
  <Pages>1</Pages>
  <Words>628</Words>
  <Characters>3889</Characters>
  <CharactersWithSpaces>4496</CharactersWithSpaces>
  <Paragraphs>24</Paragraphs>
  <Company>MFF UK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2019-09-04T15:26:00Z</dcterms:created>
  <dc:creator>Uživatel systému Windows</dc:creator>
  <dc:description/>
  <dc:language>en-GB</dc:language>
  <cp:lastModifiedBy/>
  <cp:lastPrinted>2025-04-17T13:49:56Z</cp:lastPrinted>
  <dcterms:modified xsi:type="dcterms:W3CDTF">2025-04-25T20:43:22Z</dcterms:modified>
  <cp:revision>44</cp:revision>
  <dc:subject/>
  <dc:title>Materials Structure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