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52" w:rsidRDefault="00125054">
      <w:pPr>
        <w:pStyle w:val="Nadpis1"/>
      </w:pPr>
      <w:r>
        <w:t>Study of s</w:t>
      </w:r>
      <w:r w:rsidRPr="00125054">
        <w:t>tructural changes induced by light soaking in mixed-halide perovskites</w:t>
      </w:r>
    </w:p>
    <w:p w:rsidR="00BD2252" w:rsidRDefault="00125054">
      <w:pPr>
        <w:pStyle w:val="Nadpis2"/>
      </w:pPr>
      <w:r>
        <w:t>M. Dopita</w:t>
      </w:r>
      <w:r w:rsidR="00B76DC4">
        <w:rPr>
          <w:vertAlign w:val="superscript"/>
        </w:rPr>
        <w:t>1</w:t>
      </w:r>
      <w:r w:rsidR="00B76DC4">
        <w:t xml:space="preserve">, </w:t>
      </w:r>
      <w:r>
        <w:t>V</w:t>
      </w:r>
      <w:r w:rsidR="00B76DC4">
        <w:t xml:space="preserve">. </w:t>
      </w:r>
      <w:r>
        <w:t>Hol</w:t>
      </w:r>
      <w:r>
        <w:rPr>
          <w:lang w:val="cs-CZ"/>
        </w:rPr>
        <w:t>ý</w:t>
      </w:r>
      <w:r w:rsidR="00B76DC4">
        <w:rPr>
          <w:vertAlign w:val="superscript"/>
        </w:rPr>
        <w:t>1</w:t>
      </w:r>
      <w:r w:rsidR="00B76DC4">
        <w:t xml:space="preserve">, </w:t>
      </w:r>
      <w:r>
        <w:t>L</w:t>
      </w:r>
      <w:r w:rsidR="00B76DC4">
        <w:t xml:space="preserve">. </w:t>
      </w:r>
      <w:r>
        <w:t>Horák</w:t>
      </w:r>
      <w:r>
        <w:rPr>
          <w:vertAlign w:val="superscript"/>
        </w:rPr>
        <w:t>1</w:t>
      </w:r>
      <w:r>
        <w:t>,</w:t>
      </w:r>
      <w:r w:rsidR="00CC38DB">
        <w:t xml:space="preserve"> </w:t>
      </w:r>
      <w:r>
        <w:t>P</w:t>
      </w:r>
      <w:r>
        <w:t xml:space="preserve">. </w:t>
      </w:r>
      <w:r>
        <w:t>Machovec</w:t>
      </w:r>
      <w:r>
        <w:rPr>
          <w:vertAlign w:val="superscript"/>
        </w:rPr>
        <w:t>1</w:t>
      </w:r>
      <w:r>
        <w:t>,</w:t>
      </w:r>
      <w:r>
        <w:t xml:space="preserve"> J</w:t>
      </w:r>
      <w:r>
        <w:t xml:space="preserve">. </w:t>
      </w:r>
      <w:r>
        <w:t>Holovsk</w:t>
      </w:r>
      <w:r>
        <w:rPr>
          <w:lang w:val="cs-CZ"/>
        </w:rPr>
        <w:t>ý</w:t>
      </w:r>
      <w:r w:rsidR="00851CEB">
        <w:rPr>
          <w:vertAlign w:val="superscript"/>
        </w:rPr>
        <w:t>2</w:t>
      </w:r>
      <w:r>
        <w:t>,</w:t>
      </w:r>
      <w:r>
        <w:t xml:space="preserve"> N</w:t>
      </w:r>
      <w:r>
        <w:t xml:space="preserve">. </w:t>
      </w:r>
      <w:r>
        <w:t>Neykova</w:t>
      </w:r>
      <w:r>
        <w:rPr>
          <w:vertAlign w:val="superscript"/>
        </w:rPr>
        <w:t>2</w:t>
      </w:r>
      <w:r>
        <w:t xml:space="preserve"> </w:t>
      </w:r>
    </w:p>
    <w:p w:rsidR="00BD2252" w:rsidRDefault="00B76DC4" w:rsidP="00851CEB">
      <w:pPr>
        <w:pStyle w:val="Nadpis3"/>
      </w:pPr>
      <w:r>
        <w:rPr>
          <w:vertAlign w:val="superscript"/>
        </w:rPr>
        <w:t>1</w:t>
      </w:r>
      <w:r w:rsidR="00851CEB">
        <w:t>Department of Condensed Matter Physics, Faculty of Mathematics and Physics, Charles University, Prague, Ke Karlovu 2026/5, 121 16 Pr</w:t>
      </w:r>
      <w:r w:rsidR="009C51E8">
        <w:t>gue</w:t>
      </w:r>
      <w:r w:rsidR="00851CEB">
        <w:t xml:space="preserve"> 2, Czech Republic</w:t>
      </w:r>
      <w:r>
        <w:t>,</w:t>
      </w:r>
      <w:r>
        <w:t xml:space="preserve"> </w:t>
      </w:r>
      <w:r>
        <w:rPr>
          <w:vertAlign w:val="superscript"/>
        </w:rPr>
        <w:t>2</w:t>
      </w:r>
      <w:r w:rsidR="00851CEB">
        <w:t>Centre for Advanced Photovoltaics, Faculty of Electrical Engineering, Czech Technical</w:t>
      </w:r>
      <w:r w:rsidR="00851CEB">
        <w:t xml:space="preserve"> </w:t>
      </w:r>
      <w:r w:rsidR="00851CEB">
        <w:t>University in Prague, Technická 2, 16627 Prague, Czech Republic</w:t>
      </w:r>
      <w:r w:rsidR="00851CEB">
        <w:t xml:space="preserve"> </w:t>
      </w:r>
    </w:p>
    <w:p w:rsidR="00BD2252" w:rsidRDefault="00125054">
      <w:pPr>
        <w:pStyle w:val="Nadpis3"/>
        <w:rPr>
          <w:sz w:val="18"/>
          <w:szCs w:val="18"/>
        </w:rPr>
      </w:pPr>
      <w:r>
        <w:t>milan.dopita</w:t>
      </w:r>
      <w:r w:rsidR="00B76DC4">
        <w:t>@</w:t>
      </w:r>
      <w:r>
        <w:t>matfyz.cuni.cz</w:t>
      </w:r>
      <w:r w:rsidR="00B76DC4">
        <w:rPr>
          <w:lang w:eastAsia="de-DE"/>
        </w:rPr>
        <w:br/>
      </w:r>
    </w:p>
    <w:p w:rsidR="0070578A" w:rsidRDefault="0070578A">
      <w:r>
        <w:t xml:space="preserve">The </w:t>
      </w:r>
      <w:r w:rsidRPr="0070578A">
        <w:t>organometal mixed-halide perovskites</w:t>
      </w:r>
      <w:r>
        <w:t xml:space="preserve"> ABX</w:t>
      </w:r>
      <w:r w:rsidRPr="0070578A">
        <w:rPr>
          <w:vertAlign w:val="subscript"/>
        </w:rPr>
        <w:t>3</w:t>
      </w:r>
      <w:r>
        <w:t>, where</w:t>
      </w:r>
      <w:r>
        <w:t xml:space="preserve"> </w:t>
      </w:r>
      <w:r>
        <w:t>t</w:t>
      </w:r>
      <w:r>
        <w:t>ypically A stands for cation like organic MA</w:t>
      </w:r>
      <w:r w:rsidRPr="0070578A">
        <w:rPr>
          <w:vertAlign w:val="superscript"/>
        </w:rPr>
        <w:t>+</w:t>
      </w:r>
      <w:r>
        <w:t xml:space="preserve"> = CH</w:t>
      </w:r>
      <w:r w:rsidRPr="0070578A">
        <w:rPr>
          <w:vertAlign w:val="subscript"/>
        </w:rPr>
        <w:t>3</w:t>
      </w:r>
      <w:r>
        <w:t>NH</w:t>
      </w:r>
      <w:r w:rsidRPr="0070578A">
        <w:rPr>
          <w:vertAlign w:val="subscript"/>
        </w:rPr>
        <w:t>3</w:t>
      </w:r>
      <w:r w:rsidRPr="0070578A">
        <w:rPr>
          <w:vertAlign w:val="superscript"/>
        </w:rPr>
        <w:t>+</w:t>
      </w:r>
      <w:r>
        <w:t>, FA</w:t>
      </w:r>
      <w:r w:rsidRPr="0070578A">
        <w:rPr>
          <w:vertAlign w:val="superscript"/>
        </w:rPr>
        <w:t>+</w:t>
      </w:r>
      <w:r>
        <w:t xml:space="preserve"> = CH(NH</w:t>
      </w:r>
      <w:r w:rsidRPr="0070578A">
        <w:rPr>
          <w:vertAlign w:val="subscript"/>
        </w:rPr>
        <w:t>2</w:t>
      </w:r>
      <w:r>
        <w:t>)</w:t>
      </w:r>
      <w:r w:rsidRPr="0070578A">
        <w:rPr>
          <w:vertAlign w:val="subscript"/>
        </w:rPr>
        <w:t>2</w:t>
      </w:r>
      <w:r w:rsidRPr="0070578A">
        <w:rPr>
          <w:vertAlign w:val="superscript"/>
        </w:rPr>
        <w:t>+</w:t>
      </w:r>
      <w:r>
        <w:t xml:space="preserve"> and/or inorganic Cs</w:t>
      </w:r>
      <w:r w:rsidRPr="0070578A">
        <w:rPr>
          <w:vertAlign w:val="superscript"/>
        </w:rPr>
        <w:t>+</w:t>
      </w:r>
      <w:r>
        <w:t>, B stands for Pb</w:t>
      </w:r>
      <w:r w:rsidRPr="0070578A">
        <w:rPr>
          <w:vertAlign w:val="subscript"/>
        </w:rPr>
        <w:t>2</w:t>
      </w:r>
      <w:r w:rsidRPr="0070578A">
        <w:rPr>
          <w:vertAlign w:val="superscript"/>
        </w:rPr>
        <w:t>+</w:t>
      </w:r>
      <w:r>
        <w:t xml:space="preserve"> and/or Sn</w:t>
      </w:r>
      <w:r w:rsidRPr="0070578A">
        <w:rPr>
          <w:vertAlign w:val="subscript"/>
        </w:rPr>
        <w:t>2</w:t>
      </w:r>
      <w:r w:rsidRPr="0070578A">
        <w:rPr>
          <w:vertAlign w:val="superscript"/>
        </w:rPr>
        <w:t>+</w:t>
      </w:r>
      <w:r>
        <w:t>, and X stands for halide anion I</w:t>
      </w:r>
      <w:r w:rsidRPr="0070578A">
        <w:rPr>
          <w:vertAlign w:val="superscript"/>
        </w:rPr>
        <w:t>-</w:t>
      </w:r>
      <w:r>
        <w:t>, Br</w:t>
      </w:r>
      <w:r w:rsidRPr="0070578A">
        <w:rPr>
          <w:vertAlign w:val="superscript"/>
        </w:rPr>
        <w:t>-</w:t>
      </w:r>
      <w:r>
        <w:t xml:space="preserve"> and/or Cl</w:t>
      </w:r>
      <w:r w:rsidRPr="0070578A">
        <w:rPr>
          <w:vertAlign w:val="superscript"/>
        </w:rPr>
        <w:t>-</w:t>
      </w:r>
      <w:r>
        <w:t xml:space="preserve">, are </w:t>
      </w:r>
      <w:r>
        <w:t>for their inexpensive manufacturing and very favorable optoelectronic properties</w:t>
      </w:r>
      <w:r>
        <w:t xml:space="preserve"> </w:t>
      </w:r>
      <w:r>
        <w:t>materials</w:t>
      </w:r>
      <w:r w:rsidR="00175234">
        <w:t>,</w:t>
      </w:r>
      <w:r>
        <w:t xml:space="preserve"> well-suited for multi-junction solar cells.</w:t>
      </w:r>
      <w:r>
        <w:t xml:space="preserve"> Unfortunately, </w:t>
      </w:r>
      <w:r>
        <w:t>mixed-halide perovskites suffer from a partial de-mixing (phase segregation) during light</w:t>
      </w:r>
      <w:r>
        <w:t xml:space="preserve"> soaking called the Hoke effect</w:t>
      </w:r>
      <w:r>
        <w:t xml:space="preserve">. This operational instability has an unpleasant influence on </w:t>
      </w:r>
      <w:r>
        <w:t>their</w:t>
      </w:r>
      <w:r>
        <w:t xml:space="preserve"> absorption spectrum and further optoelectronic properties. Despite intense research, there is still no clear consensus on the origin of the halide ions migration and the forces acting against a concentration gradient.</w:t>
      </w:r>
      <w:r>
        <w:t xml:space="preserve"> T</w:t>
      </w:r>
      <w:r>
        <w:t xml:space="preserve">o </w:t>
      </w:r>
      <w:r>
        <w:t xml:space="preserve">manufacture </w:t>
      </w:r>
      <w:r>
        <w:t>reliable long-term operating devices, it is crucial to</w:t>
      </w:r>
      <w:r w:rsidR="00175234">
        <w:t xml:space="preserve"> understand and</w:t>
      </w:r>
      <w:r>
        <w:t xml:space="preserve"> fully eliminate this effect</w:t>
      </w:r>
      <w:r>
        <w:t xml:space="preserve">. </w:t>
      </w:r>
    </w:p>
    <w:p w:rsidR="0079580B" w:rsidRDefault="0079580B">
      <w:r>
        <w:t xml:space="preserve">In our contribution we used the combination of </w:t>
      </w:r>
      <w:r w:rsidRPr="0079580B">
        <w:rPr>
          <w:i/>
        </w:rPr>
        <w:t>in operando</w:t>
      </w:r>
      <w:r>
        <w:t xml:space="preserve"> and </w:t>
      </w:r>
      <w:r w:rsidRPr="0079580B">
        <w:rPr>
          <w:i/>
        </w:rPr>
        <w:t>in situ</w:t>
      </w:r>
      <w:r>
        <w:t xml:space="preserve"> X-ray scattering techniques, </w:t>
      </w:r>
      <w:r>
        <w:t xml:space="preserve">to link the evolution of the phase composition, internal strain propagation, and domain morphology to photoelectrical properties, mainly the energetic positions of PL peaks, absorptance measured by </w:t>
      </w:r>
      <w:r w:rsidR="00860DC7">
        <w:t>p</w:t>
      </w:r>
      <w:r>
        <w:t xml:space="preserve">hotothermal </w:t>
      </w:r>
      <w:r w:rsidR="00860DC7">
        <w:t>d</w:t>
      </w:r>
      <w:r>
        <w:t>eflec</w:t>
      </w:r>
      <w:r>
        <w:t xml:space="preserve">tion </w:t>
      </w:r>
      <w:r w:rsidR="00860DC7">
        <w:t>s</w:t>
      </w:r>
      <w:r>
        <w:t>pectroscopy</w:t>
      </w:r>
      <w:r>
        <w:t>, the concentration of deep defects accessed by FTPS, carrier lifetime extracted from PL spectroscopy and device operation through J-V measurements</w:t>
      </w:r>
      <w:r>
        <w:t xml:space="preserve">. </w:t>
      </w:r>
      <w:r w:rsidR="00860DC7">
        <w:t>The internal strain-field originating from halide-composition inhomogeneity</w:t>
      </w:r>
      <w:r w:rsidR="00860DC7">
        <w:t xml:space="preserve"> and</w:t>
      </w:r>
      <w:r w:rsidR="00860DC7">
        <w:t xml:space="preserve"> the halide migration w</w:t>
      </w:r>
      <w:r w:rsidR="00860DC7">
        <w:t>as</w:t>
      </w:r>
      <w:r w:rsidR="00860DC7">
        <w:t xml:space="preserve"> </w:t>
      </w:r>
      <w:r w:rsidR="00175234">
        <w:t>modelled</w:t>
      </w:r>
      <w:r w:rsidR="00860DC7">
        <w:t xml:space="preserve"> by kinetic simulations</w:t>
      </w:r>
      <w:r w:rsidR="00860DC7">
        <w:t xml:space="preserve">. </w:t>
      </w:r>
      <w:r w:rsidR="00860DC7">
        <w:t xml:space="preserve">The model based on </w:t>
      </w:r>
      <w:r w:rsidR="00860DC7">
        <w:t>numerical solution of</w:t>
      </w:r>
      <w:r w:rsidR="00860DC7">
        <w:t xml:space="preserve"> phenomenological Cahn-Hilliard formalism</w:t>
      </w:r>
      <w:r w:rsidR="00860DC7">
        <w:t xml:space="preserve"> was developed and the results of numerical simulation were compared with experimental results obtained from X-ray scattering and optoelectr</w:t>
      </w:r>
      <w:r w:rsidR="00175234">
        <w:t>onic</w:t>
      </w:r>
      <w:r w:rsidR="00860DC7">
        <w:t xml:space="preserve"> measurements</w:t>
      </w:r>
      <w:r w:rsidR="00860DC7">
        <w:t>.</w:t>
      </w:r>
      <w:r w:rsidR="00551798">
        <w:t xml:space="preserve"> In Fig. 1 the i</w:t>
      </w:r>
      <w:r w:rsidR="00551798" w:rsidRPr="00551798">
        <w:t>ntegrated intensity of the 220 diffraction maximum of FA</w:t>
      </w:r>
      <w:r w:rsidR="00551798" w:rsidRPr="00551798">
        <w:rPr>
          <w:vertAlign w:val="subscript"/>
        </w:rPr>
        <w:t>0.83</w:t>
      </w:r>
      <w:r w:rsidR="00551798" w:rsidRPr="00551798">
        <w:t>Cs</w:t>
      </w:r>
      <w:r w:rsidR="00551798" w:rsidRPr="00551798">
        <w:rPr>
          <w:vertAlign w:val="subscript"/>
        </w:rPr>
        <w:t>0.17</w:t>
      </w:r>
      <w:r w:rsidR="00551798" w:rsidRPr="00551798">
        <w:t>Pb(I</w:t>
      </w:r>
      <w:r w:rsidR="00551798" w:rsidRPr="00551798">
        <w:rPr>
          <w:vertAlign w:val="subscript"/>
        </w:rPr>
        <w:t>0.85</w:t>
      </w:r>
      <w:r w:rsidR="00551798" w:rsidRPr="00551798">
        <w:t>Br</w:t>
      </w:r>
      <w:r w:rsidR="00551798" w:rsidRPr="00551798">
        <w:rPr>
          <w:vertAlign w:val="subscript"/>
        </w:rPr>
        <w:t>0.15</w:t>
      </w:r>
      <w:r w:rsidR="00551798" w:rsidRPr="00551798">
        <w:t>)</w:t>
      </w:r>
      <w:r w:rsidR="00551798" w:rsidRPr="00551798">
        <w:rPr>
          <w:vertAlign w:val="subscript"/>
        </w:rPr>
        <w:t>3</w:t>
      </w:r>
      <w:r w:rsidR="00551798" w:rsidRPr="00551798">
        <w:t xml:space="preserve"> </w:t>
      </w:r>
      <w:r w:rsidR="003C70E0">
        <w:t xml:space="preserve">of single-crystalline sample </w:t>
      </w:r>
      <w:r w:rsidR="00551798" w:rsidRPr="00551798">
        <w:t xml:space="preserve">before, during, after and long after </w:t>
      </w:r>
      <w:r w:rsidR="00175234">
        <w:t xml:space="preserve">the </w:t>
      </w:r>
      <w:r w:rsidR="00551798" w:rsidRPr="00551798">
        <w:t>light illumination</w:t>
      </w:r>
      <w:r w:rsidR="00551798">
        <w:t xml:space="preserve"> is shown</w:t>
      </w:r>
      <w:r w:rsidR="00551798" w:rsidRPr="00551798">
        <w:t>. After illumination, the sample begins to relax; however, this relaxation is incomplete, as the diffraction maximum remains broader even after an extended relaxation period. When the cycle of illumination and relaxation is repeated multiple times - effectively increasing the total illumination time, broadening in the direction of lower Q also becomes apparent. The broadening toward higher Q suggests the creation of regions or domains with smaller lattice parameters, which correlates with an increased Br concentration.</w:t>
      </w:r>
      <w:r w:rsidR="00175234">
        <w:t xml:space="preserve"> </w:t>
      </w:r>
      <w:r w:rsidR="00175234" w:rsidRPr="00175234">
        <w:t>These observations highlight the complex interplay between illumination, compositional changes, and structural relaxation within the sample.</w:t>
      </w:r>
    </w:p>
    <w:p w:rsidR="00BD2252" w:rsidRDefault="00551798" w:rsidP="00551798">
      <w:pPr>
        <w:jc w:val="center"/>
      </w:pPr>
      <w:r w:rsidRPr="00540460">
        <w:rPr>
          <w:noProof/>
        </w:rPr>
        <w:drawing>
          <wp:inline distT="0" distB="0" distL="0" distR="0" wp14:anchorId="09B5EBE4" wp14:editId="2327495F">
            <wp:extent cx="3057896" cy="2293422"/>
            <wp:effectExtent l="0" t="0" r="0" b="0"/>
            <wp:docPr id="1690541288" name="Obrázek 1" descr="Obsah obrázku text, snímek obrazovky, Vykreslený graf,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541288" name="Obrázek 1" descr="Obsah obrázku text, snímek obrazovky, Vykreslený graf, diagram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6082" cy="2299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252" w:rsidRDefault="00830FF4">
      <w:pPr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ED0E7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</w:p>
    <w:p w:rsidR="00BD2252" w:rsidRPr="00FD33D2" w:rsidRDefault="00B76DC4">
      <w:pPr>
        <w:pStyle w:val="Nadpis6"/>
        <w:rPr>
          <w:sz w:val="18"/>
          <w:szCs w:val="18"/>
        </w:rPr>
      </w:pPr>
      <w:r w:rsidRPr="00FD33D2">
        <w:rPr>
          <w:b/>
          <w:sz w:val="18"/>
          <w:szCs w:val="18"/>
        </w:rPr>
        <w:t>Figure 1</w:t>
      </w:r>
      <w:r w:rsidRPr="00FD33D2">
        <w:rPr>
          <w:sz w:val="18"/>
          <w:szCs w:val="18"/>
        </w:rPr>
        <w:t xml:space="preserve">. </w:t>
      </w:r>
      <w:r w:rsidR="00E73873" w:rsidRPr="00FD33D2">
        <w:rPr>
          <w:sz w:val="18"/>
          <w:szCs w:val="18"/>
        </w:rPr>
        <w:t>I</w:t>
      </w:r>
      <w:r w:rsidR="00551798" w:rsidRPr="00FD33D2">
        <w:rPr>
          <w:sz w:val="18"/>
          <w:szCs w:val="18"/>
        </w:rPr>
        <w:t>ntensity of the 220 diffraction maximum of FA</w:t>
      </w:r>
      <w:r w:rsidR="00551798" w:rsidRPr="00FD33D2">
        <w:rPr>
          <w:sz w:val="18"/>
          <w:szCs w:val="18"/>
          <w:vertAlign w:val="subscript"/>
        </w:rPr>
        <w:t>0.83</w:t>
      </w:r>
      <w:r w:rsidR="00551798" w:rsidRPr="00FD33D2">
        <w:rPr>
          <w:sz w:val="18"/>
          <w:szCs w:val="18"/>
        </w:rPr>
        <w:t>Cs</w:t>
      </w:r>
      <w:r w:rsidR="00551798" w:rsidRPr="00FD33D2">
        <w:rPr>
          <w:sz w:val="18"/>
          <w:szCs w:val="18"/>
          <w:vertAlign w:val="subscript"/>
        </w:rPr>
        <w:t>0.17</w:t>
      </w:r>
      <w:r w:rsidR="00551798" w:rsidRPr="00FD33D2">
        <w:rPr>
          <w:sz w:val="18"/>
          <w:szCs w:val="18"/>
        </w:rPr>
        <w:t>Pb(I</w:t>
      </w:r>
      <w:r w:rsidR="00551798" w:rsidRPr="00FD33D2">
        <w:rPr>
          <w:sz w:val="18"/>
          <w:szCs w:val="18"/>
          <w:vertAlign w:val="subscript"/>
        </w:rPr>
        <w:t>0.85</w:t>
      </w:r>
      <w:r w:rsidR="00551798" w:rsidRPr="00FD33D2">
        <w:rPr>
          <w:sz w:val="18"/>
          <w:szCs w:val="18"/>
        </w:rPr>
        <w:t>Br</w:t>
      </w:r>
      <w:r w:rsidR="00551798" w:rsidRPr="00FD33D2">
        <w:rPr>
          <w:sz w:val="18"/>
          <w:szCs w:val="18"/>
          <w:vertAlign w:val="subscript"/>
        </w:rPr>
        <w:t>0.15</w:t>
      </w:r>
      <w:r w:rsidR="00551798" w:rsidRPr="00FD33D2">
        <w:rPr>
          <w:sz w:val="18"/>
          <w:szCs w:val="18"/>
        </w:rPr>
        <w:t>)</w:t>
      </w:r>
      <w:r w:rsidR="00551798" w:rsidRPr="00FD33D2">
        <w:rPr>
          <w:sz w:val="18"/>
          <w:szCs w:val="18"/>
          <w:vertAlign w:val="subscript"/>
        </w:rPr>
        <w:t>3</w:t>
      </w:r>
      <w:r w:rsidR="00551798" w:rsidRPr="00FD33D2">
        <w:rPr>
          <w:sz w:val="18"/>
          <w:szCs w:val="18"/>
        </w:rPr>
        <w:t xml:space="preserve"> before, during, after and long after </w:t>
      </w:r>
      <w:r w:rsidR="002A70B2">
        <w:rPr>
          <w:sz w:val="18"/>
          <w:szCs w:val="18"/>
        </w:rPr>
        <w:t xml:space="preserve">the </w:t>
      </w:r>
      <w:bookmarkStart w:id="0" w:name="_GoBack"/>
      <w:bookmarkEnd w:id="0"/>
      <w:r w:rsidR="00551798" w:rsidRPr="00FD33D2">
        <w:rPr>
          <w:sz w:val="18"/>
          <w:szCs w:val="18"/>
        </w:rPr>
        <w:t xml:space="preserve">light illumination. </w:t>
      </w:r>
    </w:p>
    <w:p w:rsidR="00BD2252" w:rsidRDefault="00BD2252">
      <w:pPr>
        <w:rPr>
          <w:lang w:eastAsia="cs-CZ"/>
        </w:rPr>
      </w:pPr>
    </w:p>
    <w:p w:rsidR="00BD2252" w:rsidRDefault="00125054">
      <w:pPr>
        <w:pStyle w:val="Acknowledgement"/>
      </w:pPr>
      <w:r>
        <w:rPr>
          <w:lang w:eastAsia="cs-CZ"/>
        </w:rPr>
        <w:t xml:space="preserve">The authors acknowledge the support </w:t>
      </w:r>
      <w:r w:rsidR="00CC38DB" w:rsidRPr="00CC38DB">
        <w:rPr>
          <w:lang w:eastAsia="cs-CZ"/>
        </w:rPr>
        <w:t>by the Czech Science Foundation GACR, grant no. 23-06543S</w:t>
      </w:r>
      <w:r>
        <w:rPr>
          <w:lang w:eastAsia="cs-CZ"/>
        </w:rPr>
        <w:t>. XRD</w:t>
      </w:r>
      <w:r w:rsidRPr="00125054">
        <w:rPr>
          <w:lang w:eastAsia="cs-CZ"/>
        </w:rPr>
        <w:t xml:space="preserve"> experiments were performed in MGML (mgml.eu), which is supported within the program of Czech Research Infrastructures (project no. LM2023065).</w:t>
      </w:r>
    </w:p>
    <w:sectPr w:rsidR="00BD2252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DC4" w:rsidRDefault="00B76DC4">
      <w:pPr>
        <w:spacing w:after="0"/>
      </w:pPr>
      <w:r>
        <w:separator/>
      </w:r>
    </w:p>
  </w:endnote>
  <w:endnote w:type="continuationSeparator" w:id="0">
    <w:p w:rsidR="00B76DC4" w:rsidRDefault="00B76D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252" w:rsidRDefault="00B76DC4">
    <w:pPr>
      <w:pStyle w:val="Zpat"/>
    </w:pPr>
    <w:r>
      <w:t>Acta Cryst. (2025). A81, e1</w:t>
    </w:r>
  </w:p>
  <w:p w:rsidR="00BD2252" w:rsidRDefault="00BD2252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DC4" w:rsidRDefault="00B76DC4">
      <w:pPr>
        <w:spacing w:after="0"/>
      </w:pPr>
      <w:r>
        <w:separator/>
      </w:r>
    </w:p>
  </w:footnote>
  <w:footnote w:type="continuationSeparator" w:id="0">
    <w:p w:rsidR="00B76DC4" w:rsidRDefault="00B76D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252" w:rsidRDefault="00B76DC4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r>
      <w:rPr>
        <w:b/>
        <w:bCs/>
      </w:rPr>
      <w:t>Microsymposium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embedSystemFont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52"/>
    <w:rsid w:val="000D7B3F"/>
    <w:rsid w:val="00125054"/>
    <w:rsid w:val="00175234"/>
    <w:rsid w:val="002A70B2"/>
    <w:rsid w:val="00336A76"/>
    <w:rsid w:val="003C70E0"/>
    <w:rsid w:val="00551798"/>
    <w:rsid w:val="0070578A"/>
    <w:rsid w:val="0079580B"/>
    <w:rsid w:val="00830FF4"/>
    <w:rsid w:val="00851CEB"/>
    <w:rsid w:val="00860DC7"/>
    <w:rsid w:val="00945B7D"/>
    <w:rsid w:val="009C51E8"/>
    <w:rsid w:val="00AC1F05"/>
    <w:rsid w:val="00B76DC4"/>
    <w:rsid w:val="00BD2252"/>
    <w:rsid w:val="00CC38DB"/>
    <w:rsid w:val="00E73873"/>
    <w:rsid w:val="00FD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E8E2B9-5E8D-4863-8E5B-F2F26C48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5275"/>
    <w:pPr>
      <w:spacing w:after="120"/>
      <w:jc w:val="both"/>
    </w:pPr>
    <w:rPr>
      <w:lang w:eastAsia="de-DE"/>
    </w:rPr>
  </w:style>
  <w:style w:type="paragraph" w:styleId="Nadpis1">
    <w:name w:val="heading 1"/>
    <w:basedOn w:val="Normln"/>
    <w:next w:val="Nadpis2"/>
    <w:link w:val="Nadpis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Nadpis2">
    <w:name w:val="heading 2"/>
    <w:basedOn w:val="Normln"/>
    <w:next w:val="Nadpis3"/>
    <w:link w:val="Nadpis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Nadpis5">
    <w:name w:val="heading 5"/>
    <w:basedOn w:val="Nadpis6"/>
    <w:next w:val="Normln"/>
    <w:link w:val="Nadpis5Char"/>
    <w:uiPriority w:val="9"/>
    <w:unhideWhenUsed/>
    <w:qFormat/>
    <w:rsid w:val="00605A18"/>
    <w:pPr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Nadpis2Char">
    <w:name w:val="Nadpis 2 Char"/>
    <w:link w:val="Nadpis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Nadpis3Char">
    <w:name w:val="Nadpis 3 Char"/>
    <w:link w:val="Nadpis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Nadpis4Char">
    <w:name w:val="Nadpis 4 Char"/>
    <w:link w:val="Nadpis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AdresaHTMLChar">
    <w:name w:val="Adresa HTML Char"/>
    <w:link w:val="AdresaHTML"/>
    <w:uiPriority w:val="99"/>
    <w:semiHidden/>
    <w:qFormat/>
    <w:rsid w:val="005E6DCD"/>
    <w:rPr>
      <w:i/>
      <w:iCs/>
      <w:lang w:val="de-DE" w:eastAsia="de-DE"/>
    </w:rPr>
  </w:style>
  <w:style w:type="character" w:customStyle="1" w:styleId="Nadpis5Char">
    <w:name w:val="Nadpis 5 Char"/>
    <w:link w:val="Nadpis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Nadpis6Char">
    <w:name w:val="Nadpis 6 Char"/>
    <w:link w:val="Nadpis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ZhlavChar">
    <w:name w:val="Záhlaví Char"/>
    <w:link w:val="Zhlav"/>
    <w:uiPriority w:val="99"/>
    <w:qFormat/>
    <w:rsid w:val="00D13351"/>
    <w:rPr>
      <w:lang w:val="en-GB" w:eastAsia="de-DE"/>
    </w:rPr>
  </w:style>
  <w:style w:type="character" w:customStyle="1" w:styleId="ZpatChar">
    <w:name w:val="Zápatí Char"/>
    <w:link w:val="Zpat"/>
    <w:uiPriority w:val="99"/>
    <w:qFormat/>
    <w:rsid w:val="00D13351"/>
    <w:rPr>
      <w:lang w:val="en-GB" w:eastAsia="de-DE"/>
    </w:rPr>
  </w:style>
  <w:style w:type="character" w:customStyle="1" w:styleId="TextbublinyChar">
    <w:name w:val="Text bubliny Char"/>
    <w:link w:val="Textbubliny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ln"/>
    <w:next w:val="Zkladn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ln"/>
    <w:qFormat/>
    <w:rsid w:val="00777DA8"/>
    <w:rPr>
      <w:i/>
    </w:rPr>
  </w:style>
  <w:style w:type="paragraph" w:styleId="AdresaHTML">
    <w:name w:val="HTML Address"/>
    <w:basedOn w:val="Normln"/>
    <w:link w:val="AdresaHTML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A15D6-2507-4665-A999-038B9D306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475</Words>
  <Characters>3037</Characters>
  <Application>Microsoft Office Word</Application>
  <DocSecurity>0</DocSecurity>
  <Lines>89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Milan Dopita</cp:lastModifiedBy>
  <cp:revision>17</cp:revision>
  <dcterms:created xsi:type="dcterms:W3CDTF">2025-06-26T15:27:00Z</dcterms:created>
  <dcterms:modified xsi:type="dcterms:W3CDTF">2025-06-26T16:51:00Z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