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FBF5" w14:textId="77777777" w:rsidR="00AD6F31" w:rsidRPr="00AD6F31" w:rsidRDefault="00AD6F31" w:rsidP="007241BE">
      <w:pPr>
        <w:pStyle w:val="Nagwek1"/>
        <w:rPr>
          <w:lang w:val="en-US"/>
        </w:rPr>
      </w:pPr>
      <w:r w:rsidRPr="00AD6F31">
        <w:rPr>
          <w:lang w:val="en-US"/>
        </w:rPr>
        <w:t>Comparative analysis of photoswitching properties of analogous</w:t>
      </w:r>
    </w:p>
    <w:p w14:paraId="66E78DA4" w14:textId="77777777" w:rsidR="00AD6F31" w:rsidRPr="00AD6F31" w:rsidRDefault="00AD6F31" w:rsidP="007241BE">
      <w:pPr>
        <w:pStyle w:val="Nagwek1"/>
        <w:rPr>
          <w:lang w:val="en-US"/>
        </w:rPr>
      </w:pPr>
      <w:r w:rsidRPr="00AD6F31">
        <w:rPr>
          <w:lang w:val="en-US"/>
        </w:rPr>
        <w:t>nickel(II) and palladium(II) nitrite complexes in the solid state</w:t>
      </w:r>
    </w:p>
    <w:p w14:paraId="078832C3" w14:textId="4890AF1F" w:rsidR="003D0F30" w:rsidRPr="00F6518B" w:rsidRDefault="00AD6F31">
      <w:pPr>
        <w:pStyle w:val="Nagwek2"/>
        <w:rPr>
          <w:lang w:val="pl-PL"/>
        </w:rPr>
      </w:pPr>
      <w:r w:rsidRPr="00F6518B">
        <w:rPr>
          <w:lang w:val="pl-PL"/>
        </w:rPr>
        <w:t>K. Paszczyk</w:t>
      </w:r>
      <w:r w:rsidRPr="00F6518B">
        <w:rPr>
          <w:vertAlign w:val="superscript"/>
          <w:lang w:val="pl-PL"/>
        </w:rPr>
        <w:t>1</w:t>
      </w:r>
      <w:r w:rsidRPr="00F6518B">
        <w:rPr>
          <w:lang w:val="pl-PL"/>
        </w:rPr>
        <w:t>, K. Jarzembs</w:t>
      </w:r>
      <w:r w:rsidR="00C34DA8">
        <w:rPr>
          <w:lang w:val="pl-PL"/>
        </w:rPr>
        <w:t>k</w:t>
      </w:r>
      <w:r w:rsidRPr="00F6518B">
        <w:rPr>
          <w:lang w:val="pl-PL"/>
        </w:rPr>
        <w:t>a</w:t>
      </w:r>
      <w:r w:rsidRPr="00F6518B">
        <w:rPr>
          <w:vertAlign w:val="superscript"/>
          <w:lang w:val="pl-PL"/>
        </w:rPr>
        <w:t>1</w:t>
      </w:r>
      <w:r w:rsidRPr="00F6518B">
        <w:rPr>
          <w:lang w:val="pl-PL"/>
        </w:rPr>
        <w:t>, R. Kamiński</w:t>
      </w:r>
      <w:r w:rsidRPr="00F6518B">
        <w:rPr>
          <w:vertAlign w:val="superscript"/>
          <w:lang w:val="pl-PL"/>
        </w:rPr>
        <w:t>1</w:t>
      </w:r>
      <w:r w:rsidRPr="00F6518B">
        <w:rPr>
          <w:lang w:val="pl-PL"/>
        </w:rPr>
        <w:t>, K. Deresz</w:t>
      </w:r>
      <w:r w:rsidRPr="00F6518B">
        <w:rPr>
          <w:vertAlign w:val="superscript"/>
          <w:lang w:val="pl-PL"/>
        </w:rPr>
        <w:t>1</w:t>
      </w:r>
      <w:r w:rsidRPr="00F6518B">
        <w:rPr>
          <w:lang w:val="pl-PL"/>
        </w:rPr>
        <w:t>, A. Krówczyński</w:t>
      </w:r>
      <w:r w:rsidRPr="00F6518B">
        <w:rPr>
          <w:vertAlign w:val="superscript"/>
          <w:lang w:val="pl-PL"/>
        </w:rPr>
        <w:t>1</w:t>
      </w:r>
      <w:r w:rsidRPr="00F6518B">
        <w:rPr>
          <w:lang w:val="pl-PL"/>
        </w:rPr>
        <w:t>, D. Schaniel</w:t>
      </w:r>
      <w:r w:rsidRPr="00F6518B">
        <w:rPr>
          <w:vertAlign w:val="superscript"/>
          <w:lang w:val="pl-PL"/>
        </w:rPr>
        <w:t>2</w:t>
      </w:r>
    </w:p>
    <w:p w14:paraId="067D1BE0" w14:textId="76384FFC" w:rsidR="00AD6F31" w:rsidRPr="0044292C" w:rsidRDefault="004D4579" w:rsidP="00AD6F31">
      <w:pPr>
        <w:pBdr>
          <w:top w:val="nil"/>
          <w:left w:val="nil"/>
          <w:bottom w:val="nil"/>
          <w:right w:val="nil"/>
          <w:between w:val="nil"/>
        </w:pBdr>
        <w:spacing w:after="0" w:line="360" w:lineRule="auto"/>
        <w:rPr>
          <w:i/>
          <w:iCs/>
          <w:color w:val="000000"/>
        </w:rPr>
      </w:pPr>
      <w:r>
        <w:rPr>
          <w:vertAlign w:val="superscript"/>
        </w:rPr>
        <w:t>1</w:t>
      </w:r>
      <w:r w:rsidR="00AD6F31">
        <w:t>University of Warsaw</w:t>
      </w:r>
      <w:r>
        <w:t xml:space="preserve">, </w:t>
      </w:r>
      <w:r w:rsidR="00AD6F31" w:rsidRPr="00AD6F31">
        <w:rPr>
          <w:iCs/>
        </w:rPr>
        <w:t xml:space="preserve">Department of Chemistry, </w:t>
      </w:r>
      <w:r w:rsidR="00AD6F31">
        <w:rPr>
          <w:iCs/>
        </w:rPr>
        <w:t>Ż</w:t>
      </w:r>
      <w:r w:rsidR="00AD6F31" w:rsidRPr="00AD6F31">
        <w:rPr>
          <w:iCs/>
        </w:rPr>
        <w:t>wirki i Wigury 102, 02-089</w:t>
      </w:r>
      <w:r>
        <w:t xml:space="preserve">, </w:t>
      </w:r>
      <w:r>
        <w:rPr>
          <w:vertAlign w:val="superscript"/>
        </w:rPr>
        <w:t>2</w:t>
      </w:r>
      <w:r w:rsidR="00AD6F31" w:rsidRPr="00AD6F31">
        <w:rPr>
          <w:i/>
          <w:iCs/>
          <w:color w:val="000000"/>
        </w:rPr>
        <w:t>Université de Lorraine, CNRS, CRM2, 54500 Nancy, France</w:t>
      </w:r>
    </w:p>
    <w:p w14:paraId="7704154B" w14:textId="7E1059C3" w:rsidR="003D0F30" w:rsidRDefault="00AD6F31">
      <w:pPr>
        <w:pStyle w:val="Nagwek3"/>
        <w:rPr>
          <w:sz w:val="18"/>
          <w:szCs w:val="18"/>
        </w:rPr>
      </w:pPr>
      <w:r>
        <w:t>k.paszczyk@</w:t>
      </w:r>
      <w:r w:rsidR="0044292C">
        <w:t>student.uw.edu.pl</w:t>
      </w:r>
      <w:r>
        <w:t xml:space="preserve"> </w:t>
      </w:r>
    </w:p>
    <w:p w14:paraId="44FAD819" w14:textId="10E5F60B" w:rsidR="00775160" w:rsidRDefault="00775160" w:rsidP="00775160">
      <w:r>
        <w:t xml:space="preserve">Photo- and thermally switchable chemical compounds can have various applications, including </w:t>
      </w:r>
      <w:r w:rsidR="00F6518B">
        <w:t xml:space="preserve">these </w:t>
      </w:r>
      <w:r>
        <w:t xml:space="preserve">in photovoltaics and photonics. The main goal of the project was to investigate </w:t>
      </w:r>
      <w:r w:rsidR="00F6518B">
        <w:t xml:space="preserve">and compare </w:t>
      </w:r>
      <w:r>
        <w:t>properties of two (photo)switchable compounds, i.e. analogous nitro complexes of Ni(II) and Pd(II) with a (N,N,O)-donor supporting ligand (referred to as Ni-1a and Pd-1a) which were synthesized according to the literature procedure [1].</w:t>
      </w:r>
    </w:p>
    <w:p w14:paraId="1C81AD93" w14:textId="542559A9" w:rsidR="003D0F30" w:rsidRDefault="00AD6F31">
      <w:pPr>
        <w:jc w:val="center"/>
      </w:pPr>
      <w:r>
        <w:rPr>
          <w:noProof/>
          <w:lang w:eastAsia="en-GB"/>
        </w:rPr>
        <mc:AlternateContent>
          <mc:Choice Requires="wps">
            <w:drawing>
              <wp:anchor distT="0" distB="0" distL="114300" distR="114300" simplePos="0" relativeHeight="251657728" behindDoc="0" locked="0" layoutInCell="1" allowOverlap="1" wp14:anchorId="0C9A10FD" wp14:editId="3EE2FB28">
                <wp:simplePos x="0" y="0"/>
                <wp:positionH relativeFrom="column">
                  <wp:posOffset>0</wp:posOffset>
                </wp:positionH>
                <wp:positionV relativeFrom="paragraph">
                  <wp:posOffset>0</wp:posOffset>
                </wp:positionV>
                <wp:extent cx="635000" cy="635000"/>
                <wp:effectExtent l="0" t="0" r="3175" b="3175"/>
                <wp:wrapNone/>
                <wp:docPr id="1234308295"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9416"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41BE">
        <w:rPr>
          <w:noProof/>
          <w:lang w:eastAsia="en-GB"/>
        </w:rPr>
        <w:drawing>
          <wp:inline distT="0" distB="0" distL="0" distR="0" wp14:anchorId="37ED95A4" wp14:editId="3D94B791">
            <wp:extent cx="6035040" cy="1483360"/>
            <wp:effectExtent l="0" t="0" r="3810" b="2540"/>
            <wp:docPr id="1" name="Obraz 1" descr="C:\Users\Kacper\Downloads\przelac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cper\Downloads\przelaczani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5040" cy="1483360"/>
                    </a:xfrm>
                    <a:prstGeom prst="rect">
                      <a:avLst/>
                    </a:prstGeom>
                    <a:noFill/>
                    <a:ln>
                      <a:noFill/>
                    </a:ln>
                  </pic:spPr>
                </pic:pic>
              </a:graphicData>
            </a:graphic>
          </wp:inline>
        </w:drawing>
      </w:r>
    </w:p>
    <w:p w14:paraId="35EC954D" w14:textId="0787F72B" w:rsidR="003D0F30" w:rsidRDefault="004D4579">
      <w:pPr>
        <w:pStyle w:val="Nagwek6"/>
      </w:pPr>
      <w:r>
        <w:rPr>
          <w:b/>
        </w:rPr>
        <w:t>Figure 1</w:t>
      </w:r>
      <w:r>
        <w:t xml:space="preserve">. </w:t>
      </w:r>
      <w:r w:rsidR="007241BE" w:rsidRPr="007241BE">
        <w:t xml:space="preserve">Schematic representation of the </w:t>
      </w:r>
      <w:r w:rsidR="00DA36BD" w:rsidRPr="007241BE">
        <w:t>photoisomerization</w:t>
      </w:r>
      <w:r w:rsidR="007241BE" w:rsidRPr="007241BE">
        <w:t xml:space="preserve"> in the studied systems.</w:t>
      </w:r>
    </w:p>
    <w:p w14:paraId="50288DF4" w14:textId="77777777" w:rsidR="003D0F30" w:rsidRDefault="003D0F30">
      <w:pPr>
        <w:rPr>
          <w:lang w:eastAsia="cs-CZ"/>
        </w:rPr>
      </w:pPr>
    </w:p>
    <w:p w14:paraId="520F68FF" w14:textId="2D209445" w:rsidR="00775160" w:rsidRDefault="00775160" w:rsidP="00775160">
      <w:r>
        <w:t>Crystallization was carried out by solvent evaporation at room temperature. The highest quality crystals were obtained from DCM, methanol, and ethanol. For both complexes, one polymorphic form proved to be dominant. The dominant crystalline forms were examined for their photo-switching properties using IR spectroscopy, followed by a series of photocrystallographic experiments [2].</w:t>
      </w:r>
    </w:p>
    <w:p w14:paraId="7A0BAE09" w14:textId="1E6E1D1C" w:rsidR="00775160" w:rsidRDefault="00775160" w:rsidP="00775160">
      <w:r w:rsidRPr="002F2BDF">
        <w:t xml:space="preserve">Upon irradiation of the Ni-1a crystal, complete or nearly complete conversion to </w:t>
      </w:r>
      <w:r w:rsidR="003358D5" w:rsidRPr="002F2BDF">
        <w:t xml:space="preserve">the </w:t>
      </w:r>
      <w:r w:rsidRPr="002F2BDF">
        <w:t xml:space="preserve">endo-nitrito isomer was achieved </w:t>
      </w:r>
      <w:r w:rsidR="003358D5" w:rsidRPr="002F2BDF">
        <w:t xml:space="preserve">using the </w:t>
      </w:r>
      <w:r w:rsidRPr="002F2BDF">
        <w:t xml:space="preserve">470 nm and 530 nm </w:t>
      </w:r>
      <w:r w:rsidR="003358D5" w:rsidRPr="002F2BDF">
        <w:t xml:space="preserve">LED light </w:t>
      </w:r>
      <w:r w:rsidRPr="002F2BDF">
        <w:t>at 100 K</w:t>
      </w:r>
      <w:r w:rsidR="002F2BDF" w:rsidRPr="002F2BDF">
        <w:t xml:space="preserve">. Over 90% </w:t>
      </w:r>
      <w:r w:rsidR="002F2BDF">
        <w:t xml:space="preserve">conversion </w:t>
      </w:r>
      <w:r w:rsidR="002F2BDF" w:rsidRPr="002F2BDF">
        <w:t>was retained upon heating the sample to 200 K for both wavelength</w:t>
      </w:r>
      <w:r w:rsidR="002F2BDF">
        <w:t>s</w:t>
      </w:r>
      <w:r w:rsidRPr="002F2BDF">
        <w:t xml:space="preserve">. </w:t>
      </w:r>
      <w:r>
        <w:t xml:space="preserve">In contrast, the dominant Pd-1a </w:t>
      </w:r>
      <w:r w:rsidR="003358D5">
        <w:t xml:space="preserve">crystal form </w:t>
      </w:r>
      <w:r>
        <w:t xml:space="preserve">contains two symmetrically </w:t>
      </w:r>
      <w:r w:rsidR="003358D5">
        <w:t>inequivalent</w:t>
      </w:r>
      <w:r>
        <w:t xml:space="preserve"> molecules in the unit cell, </w:t>
      </w:r>
      <w:r w:rsidR="003358D5">
        <w:t xml:space="preserve">out </w:t>
      </w:r>
      <w:r>
        <w:t xml:space="preserve">of which only one undergoes photoisomerization. </w:t>
      </w:r>
      <w:r w:rsidR="003358D5">
        <w:t>In this case</w:t>
      </w:r>
      <w:r>
        <w:t xml:space="preserve">, the reaction efficiency at 100 K remains comparable to that at 200 K under 470 nm irradiation, with maximum conversion exceeding 85%. However, irradiation </w:t>
      </w:r>
      <w:r w:rsidR="003358D5">
        <w:t xml:space="preserve">with the </w:t>
      </w:r>
      <w:r>
        <w:t>5</w:t>
      </w:r>
      <w:r w:rsidR="003358D5">
        <w:t>3</w:t>
      </w:r>
      <w:r>
        <w:t xml:space="preserve">0 nm </w:t>
      </w:r>
      <w:r w:rsidR="003358D5">
        <w:t xml:space="preserve">LED light </w:t>
      </w:r>
      <w:r>
        <w:t>results in significantly lower conversion, highlighting the difference in photoresponsiveness between the two systems</w:t>
      </w:r>
      <w:r w:rsidR="00A4380A">
        <w:t xml:space="preserve"> [3]</w:t>
      </w:r>
      <w:r>
        <w:t>.</w:t>
      </w:r>
    </w:p>
    <w:p w14:paraId="760837EA" w14:textId="5D54089B" w:rsidR="00775160" w:rsidRPr="00F6518B" w:rsidRDefault="00775160" w:rsidP="00775160">
      <w:r w:rsidRPr="00F6518B">
        <w:t>Importantly, despite the different space groups, both systems exhibit analogous stacking motifs. A strong linear correlation was observed between the M</w:t>
      </w:r>
      <w:r w:rsidRPr="00F6518B">
        <w:rPr>
          <w:rFonts w:ascii="Cambria Math" w:hAnsi="Cambria Math" w:cs="Cambria Math"/>
        </w:rPr>
        <w:t>⋯</w:t>
      </w:r>
      <w:r w:rsidRPr="00F6518B">
        <w:t xml:space="preserve">M distances within these stacking motifs and the population of the </w:t>
      </w:r>
      <w:r w:rsidRPr="00F6518B">
        <w:rPr>
          <w:i/>
          <w:iCs/>
        </w:rPr>
        <w:t>endo</w:t>
      </w:r>
      <w:r w:rsidRPr="00F6518B">
        <w:t xml:space="preserve">-nitrito isomer </w:t>
      </w:r>
      <w:r w:rsidRPr="00775160">
        <w:rPr>
          <w:lang w:val="en-US"/>
        </w:rPr>
        <w:t xml:space="preserve">(coefficient of determination, </w:t>
      </w:r>
      <w:r w:rsidRPr="00775160">
        <w:rPr>
          <w:i/>
          <w:iCs/>
          <w:lang w:val="en-US"/>
        </w:rPr>
        <w:t>R</w:t>
      </w:r>
      <w:r w:rsidRPr="00775160">
        <w:rPr>
          <w:i/>
          <w:iCs/>
          <w:vertAlign w:val="superscript"/>
          <w:lang w:val="en-US"/>
        </w:rPr>
        <w:t xml:space="preserve">2 </w:t>
      </w:r>
      <w:r w:rsidRPr="00775160">
        <w:rPr>
          <w:i/>
          <w:iCs/>
          <w:lang w:val="en-US"/>
        </w:rPr>
        <w:t>&gt; 0.99</w:t>
      </w:r>
      <w:r w:rsidRPr="00775160">
        <w:rPr>
          <w:lang w:val="en-US"/>
        </w:rPr>
        <w:t>)</w:t>
      </w:r>
      <w:r w:rsidRPr="00F6518B">
        <w:t xml:space="preserve">. </w:t>
      </w:r>
      <w:r w:rsidRPr="00775160">
        <w:rPr>
          <w:lang w:val="en-US"/>
        </w:rPr>
        <w:t>As a result, based on the derived linear relationship</w:t>
      </w:r>
      <w:r w:rsidRPr="00F6518B">
        <w:t xml:space="preserve"> a quick and simple estimation of the isomer composition at 100−200 K temperature range </w:t>
      </w:r>
      <w:r w:rsidR="00A4380A" w:rsidRPr="00F6518B">
        <w:t xml:space="preserve">without </w:t>
      </w:r>
      <w:r w:rsidR="003358D5" w:rsidRPr="00F6518B">
        <w:t>modelling</w:t>
      </w:r>
      <w:r w:rsidR="00A4380A" w:rsidRPr="00F6518B">
        <w:t xml:space="preserve"> the </w:t>
      </w:r>
      <w:r w:rsidR="00DA36BD" w:rsidRPr="00F6518B">
        <w:t>disorder</w:t>
      </w:r>
      <w:r w:rsidR="00A4380A" w:rsidRPr="00F6518B">
        <w:t>.</w:t>
      </w:r>
    </w:p>
    <w:p w14:paraId="407D6077" w14:textId="77777777" w:rsidR="00775160" w:rsidRPr="00F6518B" w:rsidRDefault="00775160" w:rsidP="00775160"/>
    <w:p w14:paraId="5573F7BA" w14:textId="77777777" w:rsidR="00775160" w:rsidRPr="00F6518B" w:rsidRDefault="00775160" w:rsidP="00775160"/>
    <w:p w14:paraId="53A49367" w14:textId="2F46E3A3" w:rsidR="003D0F30" w:rsidRPr="00F6518B" w:rsidRDefault="004D4579">
      <w:pPr>
        <w:rPr>
          <w:lang w:val="pl-PL" w:eastAsia="cs-CZ"/>
        </w:rPr>
      </w:pPr>
      <w:r w:rsidRPr="00F6518B">
        <w:rPr>
          <w:lang w:val="pl-PL" w:eastAsia="cs-CZ"/>
        </w:rPr>
        <w:t>.</w:t>
      </w:r>
    </w:p>
    <w:p w14:paraId="6BB7AB16" w14:textId="4FEBD75C" w:rsidR="003D0F30" w:rsidRPr="00F6518B" w:rsidRDefault="004D4579" w:rsidP="00053631">
      <w:pPr>
        <w:pStyle w:val="Nagwek4"/>
        <w:rPr>
          <w:lang w:val="pl-PL"/>
        </w:rPr>
      </w:pPr>
      <w:r w:rsidRPr="00F6518B">
        <w:rPr>
          <w:lang w:val="pl-PL"/>
        </w:rPr>
        <w:t>[1]</w:t>
      </w:r>
      <w:r w:rsidR="00DA36BD">
        <w:rPr>
          <w:lang w:val="pl-PL"/>
        </w:rPr>
        <w:t xml:space="preserve"> </w:t>
      </w:r>
      <w:r w:rsidR="00DA36BD" w:rsidRPr="00DA36BD">
        <w:t>Dabrowski, J.</w:t>
      </w:r>
      <w:r w:rsidR="00790E00">
        <w:t>,</w:t>
      </w:r>
      <w:r w:rsidR="00DA36BD" w:rsidRPr="00DA36BD">
        <w:t> Krówczyński, A</w:t>
      </w:r>
      <w:r w:rsidR="00DA36BD" w:rsidRPr="00790E00">
        <w:t>.</w:t>
      </w:r>
      <w:r w:rsidR="00790E00" w:rsidRPr="00790E00">
        <w:t xml:space="preserve"> </w:t>
      </w:r>
      <w:r w:rsidR="00790E00">
        <w:t>(</w:t>
      </w:r>
      <w:r w:rsidR="00790E00" w:rsidRPr="00790E00">
        <w:t>1977</w:t>
      </w:r>
      <w:r w:rsidR="00790E00">
        <w:t>).</w:t>
      </w:r>
      <w:r w:rsidR="00DA36BD" w:rsidRPr="00DA36BD">
        <w:rPr>
          <w:i/>
          <w:iCs/>
        </w:rPr>
        <w:t xml:space="preserve"> Z. Naturforsch.</w:t>
      </w:r>
      <w:r w:rsidR="00DA36BD" w:rsidRPr="00DA36BD">
        <w:t>, </w:t>
      </w:r>
      <w:r w:rsidR="00DA36BD" w:rsidRPr="00DA36BD">
        <w:rPr>
          <w:i/>
          <w:iCs/>
        </w:rPr>
        <w:t>32b</w:t>
      </w:r>
      <w:r w:rsidR="00DA36BD" w:rsidRPr="00DA36BD">
        <w:t>, 62– 67</w:t>
      </w:r>
      <w:r w:rsidR="00790E00">
        <w:t>.</w:t>
      </w:r>
    </w:p>
    <w:p w14:paraId="002B4E93" w14:textId="01419888" w:rsidR="003D0F30" w:rsidRPr="00F6518B" w:rsidRDefault="004D4579" w:rsidP="00053631">
      <w:pPr>
        <w:pStyle w:val="Nagwek4"/>
        <w:ind w:left="0" w:firstLine="0"/>
        <w:rPr>
          <w:lang w:val="pl-PL"/>
        </w:rPr>
      </w:pPr>
      <w:r w:rsidRPr="00F6518B">
        <w:rPr>
          <w:lang w:val="pl-PL"/>
        </w:rPr>
        <w:t xml:space="preserve">[2] </w:t>
      </w:r>
      <w:r w:rsidR="00790E00" w:rsidRPr="00790E00">
        <w:rPr>
          <w:lang w:val="pl-PL"/>
        </w:rPr>
        <w:t>Kamiński, R</w:t>
      </w:r>
      <w:r w:rsidR="00790E00">
        <w:rPr>
          <w:lang w:val="pl-PL"/>
        </w:rPr>
        <w:t>.,</w:t>
      </w:r>
      <w:r w:rsidR="00790E00" w:rsidRPr="00790E00">
        <w:rPr>
          <w:lang w:val="pl-PL"/>
        </w:rPr>
        <w:t xml:space="preserve"> Jarzembska, Katarzyna &amp; Kutniewska, Sylwia &amp; Kamiński, Marek. (2016). </w:t>
      </w:r>
      <w:r w:rsidR="00790E00" w:rsidRPr="00790E00">
        <w:rPr>
          <w:i/>
          <w:iCs/>
          <w:lang w:val="pl-PL"/>
        </w:rPr>
        <w:t>Journal of Applied Crystallography</w:t>
      </w:r>
      <w:r w:rsidR="00790E00" w:rsidRPr="00790E00">
        <w:rPr>
          <w:lang w:val="pl-PL"/>
        </w:rPr>
        <w:t>. 49</w:t>
      </w:r>
      <w:r w:rsidR="00790E00">
        <w:rPr>
          <w:lang w:val="pl-PL"/>
        </w:rPr>
        <w:t xml:space="preserve">. </w:t>
      </w:r>
      <w:r w:rsidR="00790E00" w:rsidRPr="00790E00">
        <w:rPr>
          <w:lang w:val="pl-PL"/>
        </w:rPr>
        <w:t>1383</w:t>
      </w:r>
      <w:r w:rsidR="00790E00">
        <w:rPr>
          <w:lang w:val="pl-PL"/>
        </w:rPr>
        <w:t>-</w:t>
      </w:r>
      <w:r w:rsidR="00790E00" w:rsidRPr="00790E00">
        <w:rPr>
          <w:lang w:val="pl-PL"/>
        </w:rPr>
        <w:t xml:space="preserve">1387. </w:t>
      </w:r>
    </w:p>
    <w:p w14:paraId="2B5CDEF5" w14:textId="16F34C3B" w:rsidR="00790E00" w:rsidRPr="00790E00" w:rsidRDefault="004D4579" w:rsidP="00053631">
      <w:pPr>
        <w:pStyle w:val="Nagwek4"/>
        <w:ind w:left="0" w:firstLine="0"/>
        <w:rPr>
          <w:lang w:val="pl-PL"/>
        </w:rPr>
      </w:pPr>
      <w:r w:rsidRPr="00F6518B">
        <w:rPr>
          <w:lang w:val="pl-PL"/>
        </w:rPr>
        <w:t xml:space="preserve">[3] </w:t>
      </w:r>
      <w:r w:rsidR="00790E00" w:rsidRPr="00790E00">
        <w:rPr>
          <w:szCs w:val="18"/>
          <w:lang w:val="pl-PL"/>
        </w:rPr>
        <w:t>Paszczyk, K</w:t>
      </w:r>
      <w:r w:rsidR="00790E00">
        <w:rPr>
          <w:szCs w:val="18"/>
          <w:lang w:val="pl-PL"/>
        </w:rPr>
        <w:t>.,</w:t>
      </w:r>
      <w:r w:rsidR="00790E00" w:rsidRPr="00790E00">
        <w:rPr>
          <w:szCs w:val="18"/>
          <w:lang w:val="pl-PL"/>
        </w:rPr>
        <w:t xml:space="preserve"> Deresz, </w:t>
      </w:r>
      <w:r w:rsidR="00790E00">
        <w:rPr>
          <w:szCs w:val="18"/>
          <w:lang w:val="pl-PL"/>
        </w:rPr>
        <w:t>.,</w:t>
      </w:r>
      <w:r w:rsidR="00790E00" w:rsidRPr="00790E00">
        <w:rPr>
          <w:szCs w:val="18"/>
          <w:lang w:val="pl-PL"/>
        </w:rPr>
        <w:t xml:space="preserve"> Kamiński, </w:t>
      </w:r>
      <w:r w:rsidR="00790E00">
        <w:rPr>
          <w:szCs w:val="18"/>
          <w:lang w:val="pl-PL"/>
        </w:rPr>
        <w:t>R.,</w:t>
      </w:r>
      <w:r w:rsidR="00790E00" w:rsidRPr="00790E00">
        <w:rPr>
          <w:szCs w:val="18"/>
          <w:lang w:val="pl-PL"/>
        </w:rPr>
        <w:t xml:space="preserve"> Borowski, </w:t>
      </w:r>
      <w:r w:rsidR="00790E00">
        <w:rPr>
          <w:szCs w:val="18"/>
          <w:lang w:val="pl-PL"/>
        </w:rPr>
        <w:t>P.,</w:t>
      </w:r>
      <w:r w:rsidR="00790E00" w:rsidRPr="00790E00">
        <w:rPr>
          <w:szCs w:val="18"/>
          <w:lang w:val="pl-PL"/>
        </w:rPr>
        <w:t xml:space="preserve"> Schaniel, D</w:t>
      </w:r>
      <w:r w:rsidR="00790E00">
        <w:rPr>
          <w:szCs w:val="18"/>
          <w:lang w:val="pl-PL"/>
        </w:rPr>
        <w:t>.,</w:t>
      </w:r>
      <w:r w:rsidR="00790E00" w:rsidRPr="00790E00">
        <w:rPr>
          <w:szCs w:val="18"/>
          <w:lang w:val="pl-PL"/>
        </w:rPr>
        <w:t xml:space="preserve"> Krówczyński, A</w:t>
      </w:r>
      <w:r w:rsidR="00790E00">
        <w:rPr>
          <w:szCs w:val="18"/>
          <w:lang w:val="pl-PL"/>
        </w:rPr>
        <w:t>.,</w:t>
      </w:r>
      <w:r w:rsidR="00790E00" w:rsidRPr="00790E00">
        <w:rPr>
          <w:szCs w:val="18"/>
          <w:lang w:val="pl-PL"/>
        </w:rPr>
        <w:t xml:space="preserve"> Jarzembska, K</w:t>
      </w:r>
      <w:r w:rsidR="00790E00">
        <w:rPr>
          <w:szCs w:val="18"/>
          <w:lang w:val="pl-PL"/>
        </w:rPr>
        <w:t>. N</w:t>
      </w:r>
      <w:r w:rsidR="00790E00" w:rsidRPr="00790E00">
        <w:rPr>
          <w:szCs w:val="18"/>
          <w:lang w:val="pl-PL"/>
        </w:rPr>
        <w:t xml:space="preserve">. </w:t>
      </w:r>
      <w:r w:rsidR="00790E00" w:rsidRPr="00790E00">
        <w:rPr>
          <w:i/>
          <w:iCs/>
          <w:szCs w:val="18"/>
          <w:lang w:val="pl-PL"/>
        </w:rPr>
        <w:t>Crystal Growth &amp; Design</w:t>
      </w:r>
      <w:r w:rsidR="00790E00" w:rsidRPr="00790E00">
        <w:rPr>
          <w:szCs w:val="18"/>
          <w:lang w:val="pl-PL"/>
        </w:rPr>
        <w:t> 2024 </w:t>
      </w:r>
      <w:r w:rsidR="00790E00" w:rsidRPr="00790E00">
        <w:rPr>
          <w:i/>
          <w:iCs/>
          <w:szCs w:val="18"/>
          <w:lang w:val="pl-PL"/>
        </w:rPr>
        <w:t>24</w:t>
      </w:r>
      <w:r w:rsidR="00790E00" w:rsidRPr="00790E00">
        <w:rPr>
          <w:szCs w:val="18"/>
          <w:lang w:val="pl-PL"/>
        </w:rPr>
        <w:t> (24),</w:t>
      </w:r>
      <w:r w:rsidR="00053631">
        <w:rPr>
          <w:szCs w:val="18"/>
          <w:lang w:val="pl-PL"/>
        </w:rPr>
        <w:t xml:space="preserve"> pp.</w:t>
      </w:r>
      <w:r w:rsidR="00790E00" w:rsidRPr="00790E00">
        <w:rPr>
          <w:szCs w:val="18"/>
          <w:lang w:val="pl-PL"/>
        </w:rPr>
        <w:t>10152-10170</w:t>
      </w:r>
      <w:r w:rsidR="00053631">
        <w:rPr>
          <w:szCs w:val="18"/>
          <w:lang w:val="pl-PL"/>
        </w:rPr>
        <w:t>.</w:t>
      </w:r>
    </w:p>
    <w:p w14:paraId="13ABB003" w14:textId="77777777" w:rsidR="00790E00" w:rsidRPr="00790E00" w:rsidRDefault="00790E00" w:rsidP="00790E00">
      <w:pPr>
        <w:rPr>
          <w:lang w:val="pl-PL" w:eastAsia="cs-CZ"/>
        </w:rPr>
      </w:pPr>
    </w:p>
    <w:p w14:paraId="77622E60" w14:textId="10B63E35" w:rsidR="003D0F30" w:rsidRDefault="00625F64" w:rsidP="00625F64">
      <w:pPr>
        <w:pStyle w:val="Acknowledgement"/>
        <w:jc w:val="center"/>
      </w:pPr>
      <w:r w:rsidRPr="00625F64">
        <w:rPr>
          <w:lang w:eastAsia="cs-CZ"/>
        </w:rPr>
        <w:t>Financial support from the SONATA BIS grant (2020/38/E/ST4/00400) is gratefully acknowledged.</w:t>
      </w:r>
    </w:p>
    <w:sectPr w:rsidR="003D0F30">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7C481" w14:textId="77777777" w:rsidR="00782B5D" w:rsidRDefault="00782B5D">
      <w:pPr>
        <w:spacing w:after="0"/>
      </w:pPr>
      <w:r>
        <w:separator/>
      </w:r>
    </w:p>
  </w:endnote>
  <w:endnote w:type="continuationSeparator" w:id="0">
    <w:p w14:paraId="1BA4B4C9" w14:textId="77777777" w:rsidR="00782B5D" w:rsidRDefault="00782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8C85" w14:textId="77777777" w:rsidR="003D0F30" w:rsidRDefault="004D4579">
    <w:pPr>
      <w:pStyle w:val="Stopka"/>
    </w:pPr>
    <w:r>
      <w:t>Acta Cryst. (2025). A81, e1</w:t>
    </w:r>
  </w:p>
  <w:p w14:paraId="4B04C3DA" w14:textId="77777777" w:rsidR="003D0F30" w:rsidRDefault="003D0F30">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8940" w14:textId="77777777" w:rsidR="00782B5D" w:rsidRDefault="00782B5D">
      <w:pPr>
        <w:spacing w:after="0"/>
      </w:pPr>
      <w:r>
        <w:separator/>
      </w:r>
    </w:p>
  </w:footnote>
  <w:footnote w:type="continuationSeparator" w:id="0">
    <w:p w14:paraId="47EF7642" w14:textId="77777777" w:rsidR="00782B5D" w:rsidRDefault="00782B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7413" w14:textId="77777777" w:rsidR="003D0F30" w:rsidRDefault="004D4579">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30"/>
    <w:rsid w:val="00053631"/>
    <w:rsid w:val="00153311"/>
    <w:rsid w:val="001F6CC0"/>
    <w:rsid w:val="002F16E7"/>
    <w:rsid w:val="002F2BDF"/>
    <w:rsid w:val="003358D5"/>
    <w:rsid w:val="003D0F30"/>
    <w:rsid w:val="0044292C"/>
    <w:rsid w:val="004861C5"/>
    <w:rsid w:val="004D4579"/>
    <w:rsid w:val="00625F64"/>
    <w:rsid w:val="007241BE"/>
    <w:rsid w:val="00775160"/>
    <w:rsid w:val="00782B5D"/>
    <w:rsid w:val="00790E00"/>
    <w:rsid w:val="007A7E61"/>
    <w:rsid w:val="007C2755"/>
    <w:rsid w:val="007C6FD8"/>
    <w:rsid w:val="007C7DF6"/>
    <w:rsid w:val="00A4380A"/>
    <w:rsid w:val="00AC4362"/>
    <w:rsid w:val="00AD6F31"/>
    <w:rsid w:val="00C2156C"/>
    <w:rsid w:val="00C34DA8"/>
    <w:rsid w:val="00DA36BD"/>
    <w:rsid w:val="00F651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4871"/>
  <w15:docId w15:val="{D11BEB63-9B58-4B8E-871D-17F124B2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D6F31"/>
    <w:rPr>
      <w:sz w:val="16"/>
      <w:szCs w:val="16"/>
    </w:rPr>
  </w:style>
  <w:style w:type="paragraph" w:styleId="Tekstkomentarza">
    <w:name w:val="annotation text"/>
    <w:basedOn w:val="Normalny"/>
    <w:link w:val="TekstkomentarzaZnak"/>
    <w:uiPriority w:val="99"/>
    <w:unhideWhenUsed/>
    <w:rsid w:val="00AD6F31"/>
  </w:style>
  <w:style w:type="character" w:customStyle="1" w:styleId="TekstkomentarzaZnak">
    <w:name w:val="Tekst komentarza Znak"/>
    <w:basedOn w:val="Domylnaczcionkaakapitu"/>
    <w:link w:val="Tekstkomentarza"/>
    <w:uiPriority w:val="99"/>
    <w:rsid w:val="00AD6F31"/>
    <w:rPr>
      <w:lang w:eastAsia="de-DE"/>
    </w:rPr>
  </w:style>
  <w:style w:type="paragraph" w:styleId="Tematkomentarza">
    <w:name w:val="annotation subject"/>
    <w:basedOn w:val="Tekstkomentarza"/>
    <w:next w:val="Tekstkomentarza"/>
    <w:link w:val="TematkomentarzaZnak"/>
    <w:uiPriority w:val="99"/>
    <w:semiHidden/>
    <w:unhideWhenUsed/>
    <w:rsid w:val="00AD6F31"/>
    <w:rPr>
      <w:b/>
      <w:bCs/>
    </w:rPr>
  </w:style>
  <w:style w:type="character" w:customStyle="1" w:styleId="TematkomentarzaZnak">
    <w:name w:val="Temat komentarza Znak"/>
    <w:basedOn w:val="TekstkomentarzaZnak"/>
    <w:link w:val="Tematkomentarza"/>
    <w:uiPriority w:val="99"/>
    <w:semiHidden/>
    <w:rsid w:val="00AD6F31"/>
    <w:rPr>
      <w:b/>
      <w:bCs/>
      <w:lang w:eastAsia="de-DE"/>
    </w:rPr>
  </w:style>
  <w:style w:type="paragraph" w:styleId="Poprawka">
    <w:name w:val="Revision"/>
    <w:hidden/>
    <w:uiPriority w:val="99"/>
    <w:semiHidden/>
    <w:rsid w:val="00DA36BD"/>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90520">
      <w:bodyDiv w:val="1"/>
      <w:marLeft w:val="0"/>
      <w:marRight w:val="0"/>
      <w:marTop w:val="0"/>
      <w:marBottom w:val="0"/>
      <w:divBdr>
        <w:top w:val="none" w:sz="0" w:space="0" w:color="auto"/>
        <w:left w:val="none" w:sz="0" w:space="0" w:color="auto"/>
        <w:bottom w:val="none" w:sz="0" w:space="0" w:color="auto"/>
        <w:right w:val="none" w:sz="0" w:space="0" w:color="auto"/>
      </w:divBdr>
    </w:div>
    <w:div w:id="598954836">
      <w:bodyDiv w:val="1"/>
      <w:marLeft w:val="0"/>
      <w:marRight w:val="0"/>
      <w:marTop w:val="0"/>
      <w:marBottom w:val="0"/>
      <w:divBdr>
        <w:top w:val="none" w:sz="0" w:space="0" w:color="auto"/>
        <w:left w:val="none" w:sz="0" w:space="0" w:color="auto"/>
        <w:bottom w:val="none" w:sz="0" w:space="0" w:color="auto"/>
        <w:right w:val="none" w:sz="0" w:space="0" w:color="auto"/>
      </w:divBdr>
    </w:div>
    <w:div w:id="1099645537">
      <w:bodyDiv w:val="1"/>
      <w:marLeft w:val="0"/>
      <w:marRight w:val="0"/>
      <w:marTop w:val="0"/>
      <w:marBottom w:val="0"/>
      <w:divBdr>
        <w:top w:val="none" w:sz="0" w:space="0" w:color="auto"/>
        <w:left w:val="none" w:sz="0" w:space="0" w:color="auto"/>
        <w:bottom w:val="none" w:sz="0" w:space="0" w:color="auto"/>
        <w:right w:val="none" w:sz="0" w:space="0" w:color="auto"/>
      </w:divBdr>
    </w:div>
    <w:div w:id="1530678171">
      <w:bodyDiv w:val="1"/>
      <w:marLeft w:val="0"/>
      <w:marRight w:val="0"/>
      <w:marTop w:val="0"/>
      <w:marBottom w:val="0"/>
      <w:divBdr>
        <w:top w:val="none" w:sz="0" w:space="0" w:color="auto"/>
        <w:left w:val="none" w:sz="0" w:space="0" w:color="auto"/>
        <w:bottom w:val="none" w:sz="0" w:space="0" w:color="auto"/>
        <w:right w:val="none" w:sz="0" w:space="0" w:color="auto"/>
      </w:divBdr>
    </w:div>
    <w:div w:id="1589341619">
      <w:bodyDiv w:val="1"/>
      <w:marLeft w:val="0"/>
      <w:marRight w:val="0"/>
      <w:marTop w:val="0"/>
      <w:marBottom w:val="0"/>
      <w:divBdr>
        <w:top w:val="none" w:sz="0" w:space="0" w:color="auto"/>
        <w:left w:val="none" w:sz="0" w:space="0" w:color="auto"/>
        <w:bottom w:val="none" w:sz="0" w:space="0" w:color="auto"/>
        <w:right w:val="none" w:sz="0" w:space="0" w:color="auto"/>
      </w:divBdr>
    </w:div>
    <w:div w:id="1644382276">
      <w:bodyDiv w:val="1"/>
      <w:marLeft w:val="0"/>
      <w:marRight w:val="0"/>
      <w:marTop w:val="0"/>
      <w:marBottom w:val="0"/>
      <w:divBdr>
        <w:top w:val="none" w:sz="0" w:space="0" w:color="auto"/>
        <w:left w:val="none" w:sz="0" w:space="0" w:color="auto"/>
        <w:bottom w:val="none" w:sz="0" w:space="0" w:color="auto"/>
        <w:right w:val="none" w:sz="0" w:space="0" w:color="auto"/>
      </w:divBdr>
    </w:div>
    <w:div w:id="1736778692">
      <w:bodyDiv w:val="1"/>
      <w:marLeft w:val="0"/>
      <w:marRight w:val="0"/>
      <w:marTop w:val="0"/>
      <w:marBottom w:val="0"/>
      <w:divBdr>
        <w:top w:val="none" w:sz="0" w:space="0" w:color="auto"/>
        <w:left w:val="none" w:sz="0" w:space="0" w:color="auto"/>
        <w:bottom w:val="none" w:sz="0" w:space="0" w:color="auto"/>
        <w:right w:val="none" w:sz="0" w:space="0" w:color="auto"/>
      </w:divBdr>
    </w:div>
    <w:div w:id="193043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CB7B8-2C35-4AAC-AB9B-29C8913D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Kacper Paszczyk</cp:lastModifiedBy>
  <cp:revision>13</cp:revision>
  <dcterms:created xsi:type="dcterms:W3CDTF">2025-04-27T18:00:00Z</dcterms:created>
  <dcterms:modified xsi:type="dcterms:W3CDTF">2025-05-09T13:53:00Z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