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9CC" w:rsidRDefault="00B57685">
      <w:pPr>
        <w:pStyle w:val="berschrift1"/>
      </w:pPr>
      <w:r w:rsidRPr="00B57685">
        <w:t>Unravelling cation ordering in Sn</w:t>
      </w:r>
      <w:r w:rsidRPr="00B57685">
        <w:rPr>
          <w:vertAlign w:val="subscript"/>
        </w:rPr>
        <w:t>2</w:t>
      </w:r>
      <w:r w:rsidRPr="00B57685">
        <w:t>SbS</w:t>
      </w:r>
      <w:r w:rsidRPr="00B57685">
        <w:rPr>
          <w:vertAlign w:val="subscript"/>
        </w:rPr>
        <w:t>2</w:t>
      </w:r>
      <w:r w:rsidRPr="00B57685">
        <w:t>I</w:t>
      </w:r>
      <w:r w:rsidRPr="00B57685">
        <w:rPr>
          <w:vertAlign w:val="subscript"/>
        </w:rPr>
        <w:t>3</w:t>
      </w:r>
      <w:r w:rsidR="001C3275">
        <w:t xml:space="preserve"> </w:t>
      </w:r>
    </w:p>
    <w:p w:rsidR="005957D3" w:rsidRPr="005957D3" w:rsidRDefault="005957D3" w:rsidP="005957D3">
      <w:pPr>
        <w:pStyle w:val="berschrift2"/>
        <w:rPr>
          <w:vertAlign w:val="superscript"/>
        </w:rPr>
      </w:pPr>
      <w:r w:rsidRPr="001C3275">
        <w:rPr>
          <w:rFonts w:eastAsia="Calibri"/>
        </w:rPr>
        <w:t>D</w:t>
      </w:r>
      <w:r w:rsidRPr="0008751E">
        <w:t>.</w:t>
      </w:r>
      <w:r w:rsidRPr="001C3275">
        <w:rPr>
          <w:rFonts w:eastAsia="Calibri"/>
        </w:rPr>
        <w:t xml:space="preserve"> M. </w:t>
      </w:r>
      <w:r w:rsidRPr="005957D3">
        <w:t>Többens</w:t>
      </w:r>
      <w:r w:rsidRPr="005957D3">
        <w:rPr>
          <w:vertAlign w:val="superscript"/>
        </w:rPr>
        <w:t>1</w:t>
      </w:r>
      <w:r w:rsidRPr="005957D3">
        <w:t>, J</w:t>
      </w:r>
      <w:r>
        <w:t>.</w:t>
      </w:r>
      <w:r w:rsidRPr="005957D3">
        <w:t xml:space="preserve"> Breternitz</w:t>
      </w:r>
      <w:r w:rsidRPr="005957D3">
        <w:rPr>
          <w:vertAlign w:val="superscript"/>
        </w:rPr>
        <w:t>1,2</w:t>
      </w:r>
      <w:r w:rsidRPr="005957D3">
        <w:t>, Y</w:t>
      </w:r>
      <w:r>
        <w:t>.</w:t>
      </w:r>
      <w:r w:rsidRPr="005957D3">
        <w:t xml:space="preserve"> Tomm</w:t>
      </w:r>
      <w:r w:rsidRPr="005957D3">
        <w:rPr>
          <w:vertAlign w:val="superscript"/>
        </w:rPr>
        <w:t>1</w:t>
      </w:r>
      <w:r w:rsidRPr="005957D3">
        <w:t>, D</w:t>
      </w:r>
      <w:r>
        <w:t>.</w:t>
      </w:r>
      <w:r w:rsidRPr="005957D3">
        <w:t xml:space="preserve"> G. Porter</w:t>
      </w:r>
      <w:r w:rsidRPr="005957D3">
        <w:rPr>
          <w:vertAlign w:val="superscript"/>
        </w:rPr>
        <w:t>3</w:t>
      </w:r>
      <w:r w:rsidRPr="005957D3">
        <w:t>, A</w:t>
      </w:r>
      <w:r>
        <w:t>.</w:t>
      </w:r>
      <w:r w:rsidRPr="005957D3">
        <w:t xml:space="preserve"> Nicolson</w:t>
      </w:r>
      <w:r w:rsidRPr="005957D3">
        <w:rPr>
          <w:vertAlign w:val="superscript"/>
        </w:rPr>
        <w:t>4</w:t>
      </w:r>
      <w:r w:rsidRPr="005957D3">
        <w:t>, S</w:t>
      </w:r>
      <w:r>
        <w:t>.</w:t>
      </w:r>
      <w:r w:rsidRPr="005957D3">
        <w:t xml:space="preserve"> Schorr</w:t>
      </w:r>
      <w:r w:rsidRPr="005957D3">
        <w:rPr>
          <w:vertAlign w:val="superscript"/>
        </w:rPr>
        <w:t>1,5</w:t>
      </w:r>
    </w:p>
    <w:p w:rsidR="001379CC" w:rsidRPr="000D764B" w:rsidRDefault="000D764B" w:rsidP="000D764B">
      <w:pPr>
        <w:pStyle w:val="berschrift3"/>
        <w:rPr>
          <w:lang w:val="de-DE"/>
        </w:rPr>
      </w:pPr>
      <w:r w:rsidRPr="000D764B">
        <w:rPr>
          <w:vertAlign w:val="superscript"/>
          <w:lang w:val="de-DE"/>
        </w:rPr>
        <w:t>1</w:t>
      </w:r>
      <w:r w:rsidRPr="000D764B">
        <w:rPr>
          <w:lang w:val="de-DE"/>
        </w:rPr>
        <w:t xml:space="preserve"> Helmholtz-Zentrum Berlin </w:t>
      </w:r>
      <w:proofErr w:type="spellStart"/>
      <w:r w:rsidRPr="000D764B">
        <w:rPr>
          <w:lang w:val="de-DE"/>
        </w:rPr>
        <w:t>f</w:t>
      </w:r>
      <w:r>
        <w:rPr>
          <w:lang w:val="de-DE"/>
        </w:rPr>
        <w:t>or</w:t>
      </w:r>
      <w:proofErr w:type="spellEnd"/>
      <w:r w:rsidRPr="000D764B">
        <w:rPr>
          <w:lang w:val="de-DE"/>
        </w:rPr>
        <w:t xml:space="preserve"> Material</w:t>
      </w:r>
      <w:r>
        <w:rPr>
          <w:lang w:val="de-DE"/>
        </w:rPr>
        <w:t>s</w:t>
      </w:r>
      <w:r w:rsidRPr="000D764B">
        <w:rPr>
          <w:lang w:val="de-DE"/>
        </w:rPr>
        <w:t xml:space="preserve"> </w:t>
      </w:r>
      <w:r>
        <w:rPr>
          <w:lang w:val="de-DE"/>
        </w:rPr>
        <w:t>a</w:t>
      </w:r>
      <w:r w:rsidRPr="000D764B">
        <w:rPr>
          <w:lang w:val="de-DE"/>
        </w:rPr>
        <w:t>nd Energ</w:t>
      </w:r>
      <w:r>
        <w:rPr>
          <w:lang w:val="de-DE"/>
        </w:rPr>
        <w:t>y</w:t>
      </w:r>
      <w:r w:rsidRPr="000D764B">
        <w:rPr>
          <w:lang w:val="de-DE"/>
        </w:rPr>
        <w:t>, Berlin, Germany</w:t>
      </w:r>
      <w:r>
        <w:rPr>
          <w:lang w:val="de-DE"/>
        </w:rPr>
        <w:t xml:space="preserve">, </w:t>
      </w:r>
      <w:r w:rsidRPr="000D764B">
        <w:rPr>
          <w:vertAlign w:val="superscript"/>
          <w:lang w:val="de-DE"/>
        </w:rPr>
        <w:t>2</w:t>
      </w:r>
      <w:r w:rsidRPr="000D764B">
        <w:rPr>
          <w:lang w:val="de-DE"/>
        </w:rPr>
        <w:t>now Fachhochschule Münste</w:t>
      </w:r>
      <w:r>
        <w:rPr>
          <w:lang w:val="de-DE"/>
        </w:rPr>
        <w:t xml:space="preserve">r, </w:t>
      </w:r>
      <w:r w:rsidRPr="000D764B">
        <w:rPr>
          <w:lang w:val="de-DE"/>
        </w:rPr>
        <w:t xml:space="preserve">Department </w:t>
      </w:r>
      <w:proofErr w:type="spellStart"/>
      <w:r w:rsidRPr="000D764B">
        <w:rPr>
          <w:lang w:val="de-DE"/>
        </w:rPr>
        <w:t>of</w:t>
      </w:r>
      <w:proofErr w:type="spellEnd"/>
      <w:r w:rsidRPr="000D764B">
        <w:rPr>
          <w:lang w:val="de-DE"/>
        </w:rPr>
        <w:t xml:space="preserve"> Chemical Engineering, Münster, Germany</w:t>
      </w:r>
      <w:r>
        <w:rPr>
          <w:lang w:val="de-DE"/>
        </w:rPr>
        <w:t xml:space="preserve">, </w:t>
      </w:r>
      <w:r w:rsidRPr="000D764B">
        <w:rPr>
          <w:vertAlign w:val="superscript"/>
        </w:rPr>
        <w:t>3</w:t>
      </w:r>
      <w:r w:rsidRPr="000D764B">
        <w:t>Diamond Light Source</w:t>
      </w:r>
      <w:r>
        <w:t xml:space="preserve">, </w:t>
      </w:r>
      <w:r w:rsidRPr="000D764B">
        <w:rPr>
          <w:vertAlign w:val="superscript"/>
        </w:rPr>
        <w:t>4</w:t>
      </w:r>
      <w:r w:rsidRPr="000D764B">
        <w:t>University College London</w:t>
      </w:r>
      <w:r>
        <w:rPr>
          <w:lang w:val="de-DE"/>
        </w:rPr>
        <w:t xml:space="preserve">, </w:t>
      </w:r>
      <w:r w:rsidRPr="000D764B">
        <w:rPr>
          <w:vertAlign w:val="superscript"/>
          <w:lang w:val="de-DE"/>
        </w:rPr>
        <w:t>5</w:t>
      </w:r>
      <w:r w:rsidRPr="000D764B">
        <w:rPr>
          <w:lang w:val="de-DE"/>
        </w:rPr>
        <w:t>Fre</w:t>
      </w:r>
      <w:r>
        <w:rPr>
          <w:lang w:val="de-DE"/>
        </w:rPr>
        <w:t>e</w:t>
      </w:r>
      <w:r w:rsidRPr="000D764B">
        <w:rPr>
          <w:lang w:val="de-DE"/>
        </w:rPr>
        <w:t xml:space="preserve"> Universit</w:t>
      </w:r>
      <w:r>
        <w:rPr>
          <w:lang w:val="de-DE"/>
        </w:rPr>
        <w:t>y</w:t>
      </w:r>
      <w:r w:rsidRPr="000D764B">
        <w:rPr>
          <w:lang w:val="de-DE"/>
        </w:rPr>
        <w:t xml:space="preserve"> Berlin, Institut</w:t>
      </w:r>
      <w:r>
        <w:rPr>
          <w:lang w:val="de-DE"/>
        </w:rPr>
        <w:t xml:space="preserve">e </w:t>
      </w:r>
      <w:proofErr w:type="spellStart"/>
      <w:r>
        <w:rPr>
          <w:lang w:val="de-DE"/>
        </w:rPr>
        <w:t>of</w:t>
      </w:r>
      <w:proofErr w:type="spellEnd"/>
      <w:r>
        <w:rPr>
          <w:lang w:val="de-DE"/>
        </w:rPr>
        <w:t xml:space="preserve"> Geological Sciences</w:t>
      </w:r>
      <w:r w:rsidRPr="000D764B">
        <w:rPr>
          <w:lang w:val="de-DE"/>
        </w:rPr>
        <w:t>, Berlin, Germany</w:t>
      </w:r>
    </w:p>
    <w:p w:rsidR="001379CC" w:rsidRDefault="005957D3">
      <w:pPr>
        <w:pStyle w:val="berschrift3"/>
        <w:rPr>
          <w:sz w:val="18"/>
          <w:szCs w:val="18"/>
        </w:rPr>
      </w:pPr>
      <w:r>
        <w:t>daniel.toebbens@helmholtz-berlin.de</w:t>
      </w:r>
      <w:r w:rsidR="001C3275">
        <w:rPr>
          <w:lang w:eastAsia="de-DE"/>
        </w:rPr>
        <w:br/>
      </w:r>
    </w:p>
    <w:p w:rsidR="00EF6C0F" w:rsidRPr="0008751E" w:rsidRDefault="00EF6C0F" w:rsidP="00EF6C0F">
      <w:proofErr w:type="spellStart"/>
      <w:r w:rsidRPr="0008751E">
        <w:t>Chalcohalide</w:t>
      </w:r>
      <w:proofErr w:type="spellEnd"/>
      <w:r w:rsidRPr="0008751E">
        <w:t xml:space="preserve"> mixed-anion crystals have seen a rise in interest as “perovskite-inspired materials” with the goal of combining the ambient stability of metal chalcogenides with the exceptional optoelectronic performance of metal halides. One promising candidate is Sn</w:t>
      </w:r>
      <w:r w:rsidRPr="0008751E">
        <w:rPr>
          <w:vertAlign w:val="subscript"/>
        </w:rPr>
        <w:t>2</w:t>
      </w:r>
      <w:r w:rsidRPr="0008751E">
        <w:t>SbS</w:t>
      </w:r>
      <w:r w:rsidRPr="0008751E">
        <w:rPr>
          <w:vertAlign w:val="subscript"/>
        </w:rPr>
        <w:t>2</w:t>
      </w:r>
      <w:r w:rsidRPr="0008751E">
        <w:t>I</w:t>
      </w:r>
      <w:r w:rsidRPr="0008751E">
        <w:rPr>
          <w:vertAlign w:val="subscript"/>
        </w:rPr>
        <w:t>3</w:t>
      </w:r>
      <w:r w:rsidRPr="0008751E">
        <w:t xml:space="preserve">. Recently it was shown by us [1] to have a disordered room-temperature structure, using first-principles cluster expansion and single-crystal X-ray diffraction. </w:t>
      </w:r>
    </w:p>
    <w:p w:rsidR="00EF6C0F" w:rsidRPr="0008751E" w:rsidRDefault="00EF6C0F" w:rsidP="00EF6C0F">
      <w:r w:rsidRPr="0008751E">
        <w:t>However, due to the very low X-ray scattering contrast between isoelectronic Sn</w:t>
      </w:r>
      <w:r w:rsidRPr="0008751E">
        <w:rPr>
          <w:vertAlign w:val="superscript"/>
        </w:rPr>
        <w:t>2+</w:t>
      </w:r>
      <w:r w:rsidRPr="0008751E">
        <w:t xml:space="preserve"> and Sb</w:t>
      </w:r>
      <w:r w:rsidRPr="0008751E">
        <w:rPr>
          <w:vertAlign w:val="superscript"/>
        </w:rPr>
        <w:t>3+</w:t>
      </w:r>
      <w:r w:rsidRPr="0008751E">
        <w:t xml:space="preserve"> some unreliability remained. In order to remedy this, </w:t>
      </w:r>
      <w:r w:rsidRPr="0008751E">
        <w:rPr>
          <w:iCs/>
        </w:rPr>
        <w:t xml:space="preserve">anomalous diffraction was used. A single-crystal was mounted on the cryo-cooler </w:t>
      </w:r>
      <w:r w:rsidRPr="0008751E">
        <w:t xml:space="preserve">of beamline I16 at Diamond Light Source, which allows for low radiation energies. </w:t>
      </w:r>
      <w:r w:rsidRPr="0008751E">
        <w:rPr>
          <w:iCs/>
        </w:rPr>
        <w:t>Accessible Bragg peaks were identified and their intensities collected with high-resolution energy scans (MEAD [2]) in the range of 3.8 – 4.8 keV, covering Sb-L and Sn-L absorption edges. The observed MEAD spectra at ambient condition were compared to simulations of competing structure models.</w:t>
      </w:r>
    </w:p>
    <w:p w:rsidR="00EF6C0F" w:rsidRPr="0008751E" w:rsidRDefault="00EF6C0F" w:rsidP="00EF6C0F">
      <w:r w:rsidRPr="0008751E">
        <w:t xml:space="preserve">The Bragg peak with Miller index 022 unambiguously shows the site occupation by Sn and Sb to be switched from the classically assumed ordered structure </w:t>
      </w:r>
      <w:r w:rsidRPr="0008751E">
        <w:rPr>
          <w:iCs/>
        </w:rPr>
        <w:t xml:space="preserve">in </w:t>
      </w:r>
      <w:proofErr w:type="spellStart"/>
      <w:r w:rsidRPr="0008751E">
        <w:rPr>
          <w:i/>
          <w:iCs/>
        </w:rPr>
        <w:t>Cmcm</w:t>
      </w:r>
      <w:proofErr w:type="spellEnd"/>
      <w:r w:rsidRPr="0008751E">
        <w:t>. Instead, Sb and Sn share the sites within the [(</w:t>
      </w:r>
      <w:proofErr w:type="spellStart"/>
      <w:proofErr w:type="gramStart"/>
      <w:r w:rsidRPr="0008751E">
        <w:t>Sn,Sb</w:t>
      </w:r>
      <w:proofErr w:type="spellEnd"/>
      <w:proofErr w:type="gramEnd"/>
      <w:r w:rsidRPr="0008751E">
        <w:t>)</w:t>
      </w:r>
      <w:r w:rsidRPr="0008751E">
        <w:rPr>
          <w:vertAlign w:val="subscript"/>
        </w:rPr>
        <w:t>2</w:t>
      </w:r>
      <w:r w:rsidRPr="0008751E">
        <w:t>S</w:t>
      </w:r>
      <w:r w:rsidRPr="0008751E">
        <w:rPr>
          <w:vertAlign w:val="subscript"/>
        </w:rPr>
        <w:t>2</w:t>
      </w:r>
      <w:r w:rsidRPr="0008751E">
        <w:t xml:space="preserve">] chains, while Sn resides </w:t>
      </w:r>
      <w:proofErr w:type="spellStart"/>
      <w:r w:rsidRPr="0008751E">
        <w:t>outwith</w:t>
      </w:r>
      <w:proofErr w:type="spellEnd"/>
      <w:r w:rsidRPr="0008751E">
        <w:t xml:space="preserve">. This agrees with our previous results [1]. 022 does not allow to distinguish complete Sn-Sb disorder in </w:t>
      </w:r>
      <w:proofErr w:type="spellStart"/>
      <w:r w:rsidRPr="0008751E">
        <w:rPr>
          <w:i/>
        </w:rPr>
        <w:t>Cmcm</w:t>
      </w:r>
      <w:proofErr w:type="spellEnd"/>
      <w:r w:rsidRPr="0008751E">
        <w:t xml:space="preserve"> from ordered </w:t>
      </w:r>
      <w:r w:rsidRPr="0008751E">
        <w:rPr>
          <w:iCs/>
        </w:rPr>
        <w:t xml:space="preserve">arrangements in subgroup </w:t>
      </w:r>
      <w:r w:rsidRPr="0008751E">
        <w:rPr>
          <w:i/>
          <w:iCs/>
        </w:rPr>
        <w:t>Cmc</w:t>
      </w:r>
      <w:r w:rsidRPr="0008751E">
        <w:rPr>
          <w:iCs/>
        </w:rPr>
        <w:t>2</w:t>
      </w:r>
      <w:r w:rsidRPr="0008751E">
        <w:rPr>
          <w:iCs/>
          <w:vertAlign w:val="subscript"/>
        </w:rPr>
        <w:t>1</w:t>
      </w:r>
      <w:r w:rsidRPr="0008751E">
        <w:rPr>
          <w:iCs/>
        </w:rPr>
        <w:t>, but the 021 peak proves a high degree of disorder (figure</w:t>
      </w:r>
      <w:r w:rsidR="000E3AA2" w:rsidRPr="0008751E">
        <w:rPr>
          <w:iCs/>
        </w:rPr>
        <w:t xml:space="preserve"> 1</w:t>
      </w:r>
      <w:r w:rsidRPr="0008751E">
        <w:rPr>
          <w:iCs/>
        </w:rPr>
        <w:t xml:space="preserve">).  </w:t>
      </w:r>
    </w:p>
    <w:p w:rsidR="00EF6C0F" w:rsidRDefault="00EF6C0F" w:rsidP="00EF6C0F">
      <w:r w:rsidRPr="0008751E">
        <w:rPr>
          <w:iCs/>
        </w:rPr>
        <w:t>Subsequently, datasets were collected at low temperatures down to 10 K.</w:t>
      </w:r>
      <w:r w:rsidRPr="0008751E">
        <w:rPr>
          <w:iCs/>
          <w:color w:val="FF0000"/>
        </w:rPr>
        <w:t xml:space="preserve"> </w:t>
      </w:r>
      <w:r w:rsidRPr="0008751E">
        <w:t>These spectra did not indicate any significant structural changes; the cation disorder is retained at low temperatures. However, the method does not distinguish dynamic from static disorder.</w:t>
      </w:r>
    </w:p>
    <w:p w:rsidR="0008751E" w:rsidRPr="0008751E" w:rsidRDefault="0008751E" w:rsidP="00EF6C0F"/>
    <w:p w:rsidR="001379CC" w:rsidRPr="000E3AA2" w:rsidRDefault="0008751E">
      <w:pPr>
        <w:jc w:val="center"/>
        <w:rPr>
          <w:rFonts w:ascii="Liberation Sans" w:hAnsi="Liberation Sans"/>
        </w:rPr>
      </w:pPr>
      <w:r w:rsidRPr="000E3AA2">
        <w:rPr>
          <w:rFonts w:ascii="Liberation Sans" w:hAnsi="Liberation Sans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2" o:spid="_x0000_i1026" type="#_x0000_t75" style="width:252.55pt;height:217.9pt;visibility:visible;mso-wrap-style:square">
            <v:imagedata r:id="rId7" o:title=""/>
          </v:shape>
        </w:pict>
      </w:r>
      <w:r w:rsidR="001C3275">
        <w:pict>
          <v:shape id="_x0000_tole_rId2" o:spid="_x0000_s1027" type="#_x0000_t75" style="position:absolute;left:0;text-align:left;margin-left:0;margin-top:0;width:50pt;height:50pt;z-index:1;visibility:hidden;mso-position-horizontal-relative:text;mso-position-vertical-relative:text">
            <o:lock v:ext="edit" selection="t"/>
          </v:shape>
        </w:pict>
      </w:r>
    </w:p>
    <w:p w:rsidR="001379CC" w:rsidRDefault="001C3275">
      <w:pPr>
        <w:pStyle w:val="berschrift6"/>
      </w:pPr>
      <w:r>
        <w:rPr>
          <w:b/>
        </w:rPr>
        <w:t>Figure 1</w:t>
      </w:r>
      <w:r>
        <w:t xml:space="preserve">. </w:t>
      </w:r>
      <w:r w:rsidR="000E3AA2">
        <w:t>Experimental MEAD spectrum with selected model simulations</w:t>
      </w:r>
    </w:p>
    <w:p w:rsidR="001379CC" w:rsidRDefault="001379CC">
      <w:pPr>
        <w:pStyle w:val="berschrift4"/>
      </w:pPr>
    </w:p>
    <w:p w:rsidR="000E3AA2" w:rsidRPr="000E3AA2" w:rsidRDefault="000E3AA2" w:rsidP="000E3AA2">
      <w:pPr>
        <w:pStyle w:val="berschrift4"/>
      </w:pPr>
      <w:r w:rsidRPr="000E3AA2">
        <w:t>[1] Nicolson</w:t>
      </w:r>
      <w:r>
        <w:t>, A.</w:t>
      </w:r>
      <w:r w:rsidRPr="000E3AA2">
        <w:rPr>
          <w:i/>
        </w:rPr>
        <w:t xml:space="preserve"> et al</w:t>
      </w:r>
      <w:r w:rsidRPr="000E3AA2">
        <w:t>.</w:t>
      </w:r>
      <w:r>
        <w:t xml:space="preserve"> (2023)</w:t>
      </w:r>
      <w:r w:rsidRPr="000E3AA2">
        <w:t xml:space="preserve"> </w:t>
      </w:r>
      <w:r w:rsidRPr="000E3AA2">
        <w:rPr>
          <w:i/>
        </w:rPr>
        <w:t>J. Am. Chem. Soc.</w:t>
      </w:r>
      <w:r w:rsidRPr="000E3AA2">
        <w:t xml:space="preserve"> </w:t>
      </w:r>
      <w:r w:rsidRPr="000E3AA2">
        <w:rPr>
          <w:b/>
        </w:rPr>
        <w:t>145</w:t>
      </w:r>
      <w:r w:rsidRPr="000E3AA2">
        <w:t>, 12509</w:t>
      </w:r>
    </w:p>
    <w:p w:rsidR="001379CC" w:rsidRPr="000E3AA2" w:rsidRDefault="000E3AA2" w:rsidP="000E3AA2">
      <w:pPr>
        <w:pStyle w:val="berschrift4"/>
        <w:rPr>
          <w:rFonts w:ascii="Liberation Sans" w:hAnsi="Liberation Sans"/>
        </w:rPr>
      </w:pPr>
      <w:r w:rsidRPr="000E3AA2">
        <w:t xml:space="preserve">[2] </w:t>
      </w:r>
      <w:proofErr w:type="spellStart"/>
      <w:r w:rsidRPr="000E3AA2">
        <w:t>Többens</w:t>
      </w:r>
      <w:proofErr w:type="spellEnd"/>
      <w:r>
        <w:t>, D. M.</w:t>
      </w:r>
      <w:r w:rsidRPr="000E3AA2">
        <w:t xml:space="preserve"> </w:t>
      </w:r>
      <w:r w:rsidRPr="000E3AA2">
        <w:rPr>
          <w:i/>
        </w:rPr>
        <w:t>et al.</w:t>
      </w:r>
      <w:r>
        <w:t xml:space="preserve"> (2020)</w:t>
      </w:r>
      <w:r w:rsidRPr="000E3AA2">
        <w:t xml:space="preserve"> </w:t>
      </w:r>
      <w:r w:rsidRPr="000E3AA2">
        <w:rPr>
          <w:i/>
        </w:rPr>
        <w:t xml:space="preserve">Acta </w:t>
      </w:r>
      <w:proofErr w:type="spellStart"/>
      <w:r w:rsidRPr="000E3AA2">
        <w:rPr>
          <w:i/>
        </w:rPr>
        <w:t>C</w:t>
      </w:r>
      <w:bookmarkStart w:id="0" w:name="_GoBack"/>
      <w:bookmarkEnd w:id="0"/>
      <w:r w:rsidRPr="000E3AA2">
        <w:rPr>
          <w:i/>
        </w:rPr>
        <w:t>rystallographica</w:t>
      </w:r>
      <w:proofErr w:type="spellEnd"/>
      <w:r w:rsidRPr="000E3AA2">
        <w:t xml:space="preserve"> </w:t>
      </w:r>
      <w:r w:rsidRPr="000E3AA2">
        <w:rPr>
          <w:i/>
        </w:rPr>
        <w:t>B</w:t>
      </w:r>
      <w:r w:rsidRPr="000E3AA2">
        <w:rPr>
          <w:b/>
        </w:rPr>
        <w:t xml:space="preserve"> 76</w:t>
      </w:r>
      <w:r w:rsidRPr="000E3AA2">
        <w:t xml:space="preserve">, 1027 </w:t>
      </w:r>
    </w:p>
    <w:sectPr w:rsidR="001379CC" w:rsidRPr="000E3AA2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275" w:rsidRDefault="001C3275">
      <w:pPr>
        <w:spacing w:after="0"/>
      </w:pPr>
      <w:r>
        <w:separator/>
      </w:r>
    </w:p>
  </w:endnote>
  <w:endnote w:type="continuationSeparator" w:id="0">
    <w:p w:rsidR="001C3275" w:rsidRDefault="001C32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9CC" w:rsidRDefault="001C3275">
    <w:pPr>
      <w:pStyle w:val="Fuzeile"/>
    </w:pPr>
    <w:r>
      <w:t xml:space="preserve">Acta </w:t>
    </w:r>
    <w:proofErr w:type="spellStart"/>
    <w:r>
      <w:t>Cryst</w:t>
    </w:r>
    <w:proofErr w:type="spellEnd"/>
    <w:r>
      <w:t>. (2025). A81, e1</w:t>
    </w:r>
  </w:p>
  <w:p w:rsidR="001379CC" w:rsidRDefault="001379CC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275" w:rsidRDefault="001C3275">
      <w:pPr>
        <w:spacing w:after="0"/>
      </w:pPr>
      <w:r>
        <w:separator/>
      </w:r>
    </w:p>
  </w:footnote>
  <w:footnote w:type="continuationSeparator" w:id="0">
    <w:p w:rsidR="001C3275" w:rsidRDefault="001C32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9CC" w:rsidRDefault="001C3275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79CC"/>
    <w:rsid w:val="0008751E"/>
    <w:rsid w:val="000D764B"/>
    <w:rsid w:val="000E3AA2"/>
    <w:rsid w:val="001379CC"/>
    <w:rsid w:val="001C3275"/>
    <w:rsid w:val="00303717"/>
    <w:rsid w:val="005957D3"/>
    <w:rsid w:val="007C3B45"/>
    <w:rsid w:val="00B57685"/>
    <w:rsid w:val="00E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63FB8599"/>
  <w15:docId w15:val="{0273A985-CCF4-4F80-B5F3-C70FF4C2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berschrift1">
    <w:name w:val="heading 1"/>
    <w:basedOn w:val="Standard"/>
    <w:next w:val="berschrift2"/>
    <w:link w:val="berschrift1Zchn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berschrift2">
    <w:name w:val="heading 2"/>
    <w:basedOn w:val="Standard"/>
    <w:next w:val="berschrift3"/>
    <w:link w:val="berschrift2Zchn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berschrift5">
    <w:name w:val="heading 5"/>
    <w:basedOn w:val="berschrift6"/>
    <w:next w:val="Standard"/>
    <w:link w:val="berschrift5Zchn"/>
    <w:uiPriority w:val="9"/>
    <w:unhideWhenUsed/>
    <w:qFormat/>
    <w:rsid w:val="00605A18"/>
    <w:pPr>
      <w:outlineLvl w:val="4"/>
    </w:pPr>
    <w:rPr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berschrift2Zchn">
    <w:name w:val="Überschrift 2 Zchn"/>
    <w:link w:val="berschrift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berschrift3Zchn">
    <w:name w:val="Überschrift 3 Zchn"/>
    <w:link w:val="berschrift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berschrift4Zchn">
    <w:name w:val="Überschrift 4 Zchn"/>
    <w:link w:val="berschrift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resseZchn">
    <w:name w:val="HTML Adresse Zchn"/>
    <w:link w:val="HTMLAdresse"/>
    <w:uiPriority w:val="99"/>
    <w:semiHidden/>
    <w:qFormat/>
    <w:rsid w:val="005E6DCD"/>
    <w:rPr>
      <w:i/>
      <w:iCs/>
      <w:lang w:val="de-DE" w:eastAsia="de-DE"/>
    </w:rPr>
  </w:style>
  <w:style w:type="character" w:customStyle="1" w:styleId="berschrift5Zchn">
    <w:name w:val="Überschrift 5 Zchn"/>
    <w:link w:val="berschrift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berschrift6Zchn">
    <w:name w:val="Überschrift 6 Zchn"/>
    <w:link w:val="berschrift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KopfzeileZchn">
    <w:name w:val="Kopfzeile Zchn"/>
    <w:link w:val="Kopfzeile"/>
    <w:uiPriority w:val="99"/>
    <w:qFormat/>
    <w:rsid w:val="00D13351"/>
    <w:rPr>
      <w:lang w:val="en-GB" w:eastAsia="de-DE"/>
    </w:rPr>
  </w:style>
  <w:style w:type="character" w:customStyle="1" w:styleId="FuzeileZchn">
    <w:name w:val="Fußzeile Zchn"/>
    <w:link w:val="Fuzeile"/>
    <w:uiPriority w:val="99"/>
    <w:qFormat/>
    <w:rsid w:val="00D13351"/>
    <w:rPr>
      <w:lang w:val="en-GB" w:eastAsia="de-DE"/>
    </w:rPr>
  </w:style>
  <w:style w:type="character" w:customStyle="1" w:styleId="SprechblasentextZchn">
    <w:name w:val="Sprechblasentext Zchn"/>
    <w:link w:val="Sprechblase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Standard"/>
    <w:next w:val="Textkrper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Standard"/>
    <w:qFormat/>
    <w:rsid w:val="00777DA8"/>
    <w:rPr>
      <w:i/>
    </w:rPr>
  </w:style>
  <w:style w:type="paragraph" w:styleId="HTMLAdresse">
    <w:name w:val="HTML Address"/>
    <w:basedOn w:val="Standard"/>
    <w:link w:val="HTMLAdresseZchn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956F3-276E-4D13-8371-5AA9D1A1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Többens, Daniel</cp:lastModifiedBy>
  <cp:revision>6</cp:revision>
  <dcterms:created xsi:type="dcterms:W3CDTF">2025-04-11T09:25:00Z</dcterms:created>
  <dcterms:modified xsi:type="dcterms:W3CDTF">2025-04-11T14:37:00Z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