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A011" w14:textId="5A3698DE" w:rsidR="009C5A3F" w:rsidRDefault="004E2287">
      <w:pPr>
        <w:pStyle w:val="1"/>
      </w:pPr>
      <w:proofErr w:type="spellStart"/>
      <w:r w:rsidRPr="004E2287">
        <w:t>Tunable</w:t>
      </w:r>
      <w:proofErr w:type="spellEnd"/>
      <w:r w:rsidRPr="004E2287">
        <w:t xml:space="preserve"> </w:t>
      </w:r>
      <w:r w:rsidR="00456A87" w:rsidRPr="004E2287">
        <w:t xml:space="preserve">surface charge in </w:t>
      </w:r>
      <w:r w:rsidR="00456A87">
        <w:rPr>
          <w:rFonts w:eastAsia="等线"/>
          <w:lang w:eastAsia="zh-CN"/>
        </w:rPr>
        <w:t>two-dimensional</w:t>
      </w:r>
      <w:r w:rsidRPr="004E2287">
        <w:t xml:space="preserve"> MOFs </w:t>
      </w:r>
      <w:r w:rsidRPr="004E2287">
        <w:rPr>
          <w:i/>
          <w:iCs/>
        </w:rPr>
        <w:t>via</w:t>
      </w:r>
      <w:r w:rsidRPr="004E2287">
        <w:t xml:space="preserve"> </w:t>
      </w:r>
      <w:r w:rsidR="00456A87" w:rsidRPr="004E2287">
        <w:t>interlayer functionalization</w:t>
      </w:r>
    </w:p>
    <w:p w14:paraId="3F6E6A5E" w14:textId="77777777" w:rsidR="009C5A3F" w:rsidRPr="007B15BE" w:rsidRDefault="007B15BE">
      <w:pPr>
        <w:pStyle w:val="2"/>
        <w:rPr>
          <w:rFonts w:eastAsia="等线"/>
          <w:lang w:val="nl-NL" w:eastAsia="zh-CN"/>
        </w:rPr>
      </w:pPr>
      <w:r w:rsidRPr="007B15BE">
        <w:rPr>
          <w:rFonts w:eastAsia="等线" w:hint="eastAsia"/>
          <w:lang w:val="nl-NL" w:eastAsia="zh-CN"/>
        </w:rPr>
        <w:t>Chongting</w:t>
      </w:r>
      <w:r w:rsidR="0005529E" w:rsidRPr="007B15BE">
        <w:rPr>
          <w:lang w:val="nl-NL"/>
        </w:rPr>
        <w:t xml:space="preserve"> </w:t>
      </w:r>
      <w:r w:rsidRPr="007B15BE">
        <w:rPr>
          <w:rFonts w:eastAsia="等线" w:hint="eastAsia"/>
          <w:lang w:val="nl-NL" w:eastAsia="zh-CN"/>
        </w:rPr>
        <w:t>Ren</w:t>
      </w:r>
      <w:r w:rsidR="0005529E" w:rsidRPr="007B15BE">
        <w:rPr>
          <w:vertAlign w:val="superscript"/>
          <w:lang w:val="nl-NL"/>
        </w:rPr>
        <w:t>1</w:t>
      </w:r>
      <w:r w:rsidR="0005529E" w:rsidRPr="007B15BE">
        <w:rPr>
          <w:lang w:val="nl-NL"/>
        </w:rPr>
        <w:t xml:space="preserve">, </w:t>
      </w:r>
      <w:r w:rsidRPr="007B15BE">
        <w:rPr>
          <w:rFonts w:eastAsia="等线" w:hint="eastAsia"/>
          <w:lang w:val="nl-NL" w:eastAsia="zh-CN"/>
        </w:rPr>
        <w:t>Xu Jia</w:t>
      </w:r>
      <w:r w:rsidR="0005529E" w:rsidRPr="007B15BE">
        <w:rPr>
          <w:vertAlign w:val="superscript"/>
          <w:lang w:val="nl-NL"/>
        </w:rPr>
        <w:t>1</w:t>
      </w:r>
      <w:r w:rsidR="0005529E" w:rsidRPr="007B15BE">
        <w:rPr>
          <w:lang w:val="nl-NL"/>
        </w:rPr>
        <w:t xml:space="preserve">, </w:t>
      </w:r>
      <w:r w:rsidRPr="007B15BE">
        <w:rPr>
          <w:rFonts w:eastAsia="等线" w:hint="eastAsia"/>
          <w:lang w:val="nl-NL" w:eastAsia="zh-CN"/>
        </w:rPr>
        <w:t>Luc</w:t>
      </w:r>
      <w:r w:rsidR="0005529E" w:rsidRPr="007B15BE">
        <w:rPr>
          <w:lang w:val="nl-NL"/>
        </w:rPr>
        <w:t xml:space="preserve"> </w:t>
      </w:r>
      <w:r w:rsidRPr="007B15BE">
        <w:rPr>
          <w:rFonts w:eastAsia="等线" w:hint="eastAsia"/>
          <w:lang w:val="nl-NL" w:eastAsia="zh-CN"/>
        </w:rPr>
        <w:t>Van Meervelt</w:t>
      </w:r>
      <w:r w:rsidRPr="007B15BE">
        <w:rPr>
          <w:rFonts w:eastAsia="等线" w:hint="eastAsia"/>
          <w:vertAlign w:val="superscript"/>
          <w:lang w:val="nl-NL" w:eastAsia="zh-CN"/>
        </w:rPr>
        <w:t>1</w:t>
      </w:r>
    </w:p>
    <w:p w14:paraId="09F368DA" w14:textId="77777777" w:rsidR="009C5A3F" w:rsidRDefault="0005529E">
      <w:pPr>
        <w:pStyle w:val="3"/>
      </w:pPr>
      <w:r>
        <w:rPr>
          <w:vertAlign w:val="superscript"/>
        </w:rPr>
        <w:t>1</w:t>
      </w:r>
      <w:r w:rsidR="009C7715" w:rsidRPr="009C7715">
        <w:t xml:space="preserve"> </w:t>
      </w:r>
      <w:r w:rsidR="00AE0A43" w:rsidRPr="00AE0A43">
        <w:rPr>
          <w:rFonts w:eastAsia="等线"/>
          <w:lang w:eastAsia="zh-CN"/>
        </w:rPr>
        <w:t>Biomolecular Architecture</w:t>
      </w:r>
      <w:r w:rsidR="009C7715" w:rsidRPr="009C7715">
        <w:t>, Department of Chemistry, KU Leuven, Belgium</w:t>
      </w:r>
    </w:p>
    <w:p w14:paraId="5A0A185C" w14:textId="77777777" w:rsidR="009C5A3F" w:rsidRDefault="00536BA9">
      <w:pPr>
        <w:pStyle w:val="3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c</w:t>
      </w:r>
      <w:r w:rsidR="007B15BE">
        <w:rPr>
          <w:rFonts w:eastAsia="等线"/>
          <w:lang w:eastAsia="zh-CN"/>
        </w:rPr>
        <w:t>hongting</w:t>
      </w:r>
      <w:r w:rsidR="007B15BE">
        <w:rPr>
          <w:rFonts w:eastAsia="等线" w:hint="eastAsia"/>
          <w:lang w:eastAsia="zh-CN"/>
        </w:rPr>
        <w:t>.ren</w:t>
      </w:r>
      <w:r w:rsidR="0005529E">
        <w:t>@</w:t>
      </w:r>
      <w:r w:rsidR="007B15BE">
        <w:rPr>
          <w:rFonts w:eastAsia="等线" w:hint="eastAsia"/>
          <w:lang w:eastAsia="zh-CN"/>
        </w:rPr>
        <w:t>kuleuven.be</w:t>
      </w:r>
    </w:p>
    <w:p w14:paraId="50555EDB" w14:textId="77777777" w:rsidR="00E03D4C" w:rsidRPr="00E03D4C" w:rsidRDefault="00E03D4C" w:rsidP="00E03D4C">
      <w:pPr>
        <w:rPr>
          <w:rFonts w:eastAsia="等线"/>
          <w:lang w:eastAsia="zh-CN"/>
        </w:rPr>
      </w:pPr>
    </w:p>
    <w:p w14:paraId="7624E4CD" w14:textId="77777777" w:rsidR="00322A6E" w:rsidRPr="00042D64" w:rsidRDefault="00242F85" w:rsidP="00322A6E">
      <w:pPr>
        <w:rPr>
          <w:rFonts w:eastAsia="等线"/>
          <w:lang w:eastAsia="zh-CN"/>
        </w:rPr>
      </w:pPr>
      <w:r w:rsidRPr="00242F85">
        <w:t>Reticular chemistry has demonstrated unparalleled control over the construction of extended frameworks, and two-dimensional metal–organic frameworks (2D MOFs) in particular exhibit exceptional performance in catalysis, separations and sensing.</w:t>
      </w:r>
      <w:r w:rsidR="000F3542">
        <w:rPr>
          <w:lang w:eastAsia="cs-CZ"/>
        </w:rPr>
        <w:t>[1</w:t>
      </w:r>
      <w:r w:rsidR="000F3542">
        <w:rPr>
          <w:rFonts w:eastAsia="等线" w:hint="eastAsia"/>
          <w:lang w:eastAsia="zh-CN"/>
        </w:rPr>
        <w:t>,2</w:t>
      </w:r>
      <w:r w:rsidR="000F3542">
        <w:rPr>
          <w:lang w:eastAsia="cs-CZ"/>
        </w:rPr>
        <w:t>]</w:t>
      </w:r>
      <w:r w:rsidRPr="00242F85">
        <w:t xml:space="preserve"> Harnessing the anisotropy arising from in-plane coordination/covalent extension and out-of-plane van der Waals stacking, we have developed a layer-intercalation strategy that introduces imidazole- and sulfonate-functionalized ligands into layered MOF sheets to afford two </w:t>
      </w:r>
      <w:r w:rsidR="00DB510B" w:rsidRPr="00DB510B">
        <w:t xml:space="preserve">opposite surface </w:t>
      </w:r>
      <w:r w:rsidRPr="00242F85">
        <w:t>charged 2D frameworks</w:t>
      </w:r>
      <w:r w:rsidR="00A01E06">
        <w:t xml:space="preserve"> </w:t>
      </w:r>
      <w:r w:rsidR="00A01E06" w:rsidRPr="00517AD7">
        <w:t>(Fig. 1)</w:t>
      </w:r>
      <w:r w:rsidRPr="00517AD7">
        <w:t>.</w:t>
      </w:r>
    </w:p>
    <w:p w14:paraId="006A863C" w14:textId="77777777" w:rsidR="00042D64" w:rsidRPr="00042D64" w:rsidRDefault="00242F85" w:rsidP="00322A6E">
      <w:pPr>
        <w:rPr>
          <w:rFonts w:eastAsia="等线"/>
          <w:lang w:eastAsia="zh-CN"/>
        </w:rPr>
      </w:pPr>
      <w:r w:rsidRPr="00242F85">
        <w:t xml:space="preserve">The first, </w:t>
      </w:r>
      <w:r w:rsidRPr="00322A6E">
        <w:rPr>
          <w:i/>
          <w:iCs/>
        </w:rPr>
        <w:t>Im-2D</w:t>
      </w:r>
      <w:r w:rsidR="00F8229A">
        <w:rPr>
          <w:rFonts w:eastAsia="等线" w:hint="eastAsia"/>
          <w:i/>
          <w:iCs/>
          <w:lang w:eastAsia="zh-CN"/>
        </w:rPr>
        <w:t>n</w:t>
      </w:r>
      <w:r w:rsidRPr="00242F85">
        <w:t>, is a positively charged monolayer with a hexagonal close-packed topology</w:t>
      </w:r>
      <w:r w:rsidR="00A01E06">
        <w:t xml:space="preserve"> </w:t>
      </w:r>
      <w:r w:rsidRPr="00242F85">
        <w:t xml:space="preserve">network, in which </w:t>
      </w:r>
      <w:r w:rsidR="00C3424F">
        <w:rPr>
          <w:rFonts w:eastAsia="等线" w:hint="eastAsia"/>
          <w:lang w:eastAsia="zh-CN"/>
        </w:rPr>
        <w:t>half</w:t>
      </w:r>
      <w:r w:rsidRPr="00242F85">
        <w:t xml:space="preserve"> of the metal sites are functionalized by imidazole. The second, </w:t>
      </w:r>
      <w:r w:rsidRPr="00DB510B">
        <w:rPr>
          <w:i/>
          <w:iCs/>
        </w:rPr>
        <w:t>SO</w:t>
      </w:r>
      <w:r w:rsidR="00F8229A" w:rsidRPr="00F8229A">
        <w:rPr>
          <w:rFonts w:eastAsia="等线" w:hint="eastAsia"/>
          <w:i/>
          <w:iCs/>
          <w:vertAlign w:val="subscript"/>
          <w:lang w:eastAsia="zh-CN"/>
        </w:rPr>
        <w:t>3</w:t>
      </w:r>
      <w:r w:rsidRPr="00DB510B">
        <w:rPr>
          <w:i/>
          <w:iCs/>
        </w:rPr>
        <w:t>-2D</w:t>
      </w:r>
      <w:r w:rsidR="00F8229A">
        <w:rPr>
          <w:rFonts w:eastAsia="等线" w:hint="eastAsia"/>
          <w:i/>
          <w:iCs/>
          <w:lang w:eastAsia="zh-CN"/>
        </w:rPr>
        <w:t>n</w:t>
      </w:r>
      <w:r w:rsidRPr="00242F85">
        <w:t xml:space="preserve">, is a negatively charged multilayer in which nitrogen-donor ligands link one-dimensional chains along one axis, and </w:t>
      </w:r>
      <w:proofErr w:type="spellStart"/>
      <w:r w:rsidRPr="00242F85">
        <w:t>formate</w:t>
      </w:r>
      <w:proofErr w:type="spellEnd"/>
      <w:r w:rsidRPr="00242F85">
        <w:t xml:space="preserve"> bridges knit these chains into a two-dimensional network, achieving </w:t>
      </w:r>
      <w:r w:rsidR="00C3424F">
        <w:rPr>
          <w:rFonts w:eastAsia="等线" w:hint="eastAsia"/>
          <w:lang w:eastAsia="zh-CN"/>
        </w:rPr>
        <w:t>full</w:t>
      </w:r>
      <w:r w:rsidRPr="00242F85">
        <w:t xml:space="preserve"> node functionalization. Recognizing the critical importance of crystallinity for definitive structural characterization, we collected high-quality single-crystal diffraction data </w:t>
      </w:r>
      <w:r w:rsidR="00B969E3">
        <w:rPr>
          <w:rFonts w:eastAsia="等线" w:hint="eastAsia"/>
          <w:lang w:eastAsia="zh-CN"/>
        </w:rPr>
        <w:t>combined</w:t>
      </w:r>
      <w:r w:rsidRPr="00242F85">
        <w:t xml:space="preserve"> in-house X-ray diffraction </w:t>
      </w:r>
      <w:r w:rsidR="00B969E3">
        <w:rPr>
          <w:rFonts w:eastAsia="等线" w:hint="eastAsia"/>
          <w:lang w:eastAsia="zh-CN"/>
        </w:rPr>
        <w:t>with</w:t>
      </w:r>
      <w:r w:rsidRPr="00242F85">
        <w:t xml:space="preserve"> synchrotron measurements at SOLEIL PROXIMA-2</w:t>
      </w:r>
      <w:proofErr w:type="gramStart"/>
      <w:r w:rsidRPr="00242F85">
        <w:t>A.</w:t>
      </w:r>
      <w:r w:rsidR="00C3424F">
        <w:rPr>
          <w:rFonts w:eastAsia="等线" w:hint="eastAsia"/>
          <w:lang w:eastAsia="zh-CN"/>
        </w:rPr>
        <w:t>[</w:t>
      </w:r>
      <w:proofErr w:type="gramEnd"/>
      <w:r w:rsidR="00C3424F">
        <w:rPr>
          <w:rFonts w:eastAsia="等线" w:hint="eastAsia"/>
          <w:lang w:eastAsia="zh-CN"/>
        </w:rPr>
        <w:t>3]</w:t>
      </w:r>
      <w:r w:rsidRPr="00242F85">
        <w:t xml:space="preserve"> Rigorous structural refinement reveals the intrinsic topologies and spatial distribution of the charged functionalities. These rare examples of reticular architectures bearing free-standing charged groups not only expand the design palette of MOFs but also lay a firm foundation for applications in non-neutral ion adsorption, tailored fluorescence responses, and electrochemical systems.</w:t>
      </w:r>
    </w:p>
    <w:p w14:paraId="11AC65B8" w14:textId="77777777" w:rsidR="009C5A3F" w:rsidRDefault="00A01E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FC1B73" wp14:editId="39B5F5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4898919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CE25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  </w:pict>
          </mc:Fallback>
        </mc:AlternateContent>
      </w:r>
      <w:r>
        <w:rPr>
          <w:noProof/>
        </w:rPr>
        <w:drawing>
          <wp:inline distT="0" distB="0" distL="0" distR="0" wp14:anchorId="14A29575" wp14:editId="3C4C6BE4">
            <wp:extent cx="3977640" cy="3538855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06FC" w14:textId="77777777" w:rsidR="009C5A3F" w:rsidRDefault="0005529E">
      <w:pPr>
        <w:pStyle w:val="6"/>
        <w:rPr>
          <w:rFonts w:eastAsia="等线"/>
          <w:lang w:eastAsia="zh-CN"/>
        </w:rPr>
      </w:pPr>
      <w:r>
        <w:rPr>
          <w:b/>
        </w:rPr>
        <w:t>Figure 1</w:t>
      </w:r>
      <w:r>
        <w:t xml:space="preserve">. </w:t>
      </w:r>
      <w:r w:rsidR="00474F0A">
        <w:rPr>
          <w:rFonts w:eastAsia="等线" w:hint="eastAsia"/>
          <w:lang w:eastAsia="zh-CN"/>
        </w:rPr>
        <w:t>The</w:t>
      </w:r>
      <w:r w:rsidR="00474F0A" w:rsidRPr="00474F0A">
        <w:t xml:space="preserve"> interlayer-insertion synthesis strategy, surface charges and crystal structures of </w:t>
      </w:r>
      <w:r w:rsidR="00474F0A">
        <w:rPr>
          <w:rFonts w:eastAsia="等线" w:hint="eastAsia"/>
          <w:i/>
          <w:iCs/>
          <w:lang w:eastAsia="zh-CN"/>
        </w:rPr>
        <w:t>Im</w:t>
      </w:r>
      <w:r w:rsidR="00474F0A" w:rsidRPr="00474F0A">
        <w:rPr>
          <w:i/>
          <w:iCs/>
        </w:rPr>
        <w:t>-2D</w:t>
      </w:r>
      <w:r w:rsidR="00474F0A" w:rsidRPr="00474F0A">
        <w:rPr>
          <w:rFonts w:eastAsia="等线" w:hint="eastAsia"/>
          <w:i/>
          <w:iCs/>
          <w:lang w:eastAsia="zh-CN"/>
        </w:rPr>
        <w:t>n</w:t>
      </w:r>
      <w:r w:rsidR="00474F0A" w:rsidRPr="00474F0A">
        <w:t xml:space="preserve"> and </w:t>
      </w:r>
      <w:r w:rsidR="00474F0A" w:rsidRPr="00474F0A">
        <w:rPr>
          <w:i/>
          <w:iCs/>
        </w:rPr>
        <w:t>SO₃-2D</w:t>
      </w:r>
      <w:r w:rsidR="00474F0A" w:rsidRPr="00474F0A">
        <w:rPr>
          <w:rFonts w:eastAsia="等线" w:hint="eastAsia"/>
          <w:i/>
          <w:iCs/>
          <w:lang w:eastAsia="zh-CN"/>
        </w:rPr>
        <w:t>n</w:t>
      </w:r>
      <w:r w:rsidR="00474F0A" w:rsidRPr="00474F0A">
        <w:t>.</w:t>
      </w:r>
    </w:p>
    <w:p w14:paraId="7763A6EE" w14:textId="77777777" w:rsidR="000F3542" w:rsidRPr="000F3542" w:rsidRDefault="000F3542" w:rsidP="000F3542">
      <w:pPr>
        <w:rPr>
          <w:rFonts w:eastAsia="等线"/>
          <w:lang w:eastAsia="zh-CN"/>
        </w:rPr>
      </w:pPr>
    </w:p>
    <w:p w14:paraId="4507F58E" w14:textId="46C9DB21" w:rsidR="009C5A3F" w:rsidRPr="00207AE0" w:rsidRDefault="0005529E" w:rsidP="000F3542">
      <w:pPr>
        <w:pStyle w:val="4"/>
        <w:ind w:left="0" w:firstLine="0"/>
        <w:rPr>
          <w:rFonts w:eastAsia="等线"/>
          <w:lang w:eastAsia="zh-CN"/>
        </w:rPr>
      </w:pPr>
      <w:r>
        <w:t xml:space="preserve">[1] </w:t>
      </w:r>
      <w:r w:rsidR="00207AE0">
        <w:rPr>
          <w:rFonts w:eastAsia="等线" w:hint="eastAsia"/>
          <w:lang w:eastAsia="zh-CN"/>
        </w:rPr>
        <w:t>C</w:t>
      </w:r>
      <w:r w:rsidR="00207AE0">
        <w:rPr>
          <w:rFonts w:eastAsia="等线"/>
          <w:lang w:eastAsia="zh-CN"/>
        </w:rPr>
        <w:t>h</w:t>
      </w:r>
      <w:r w:rsidR="00207AE0">
        <w:rPr>
          <w:rFonts w:eastAsia="等线" w:hint="eastAsia"/>
          <w:lang w:eastAsia="zh-CN"/>
        </w:rPr>
        <w:t xml:space="preserve">akraborty, G., Park, I. -H., </w:t>
      </w:r>
      <w:proofErr w:type="spellStart"/>
      <w:r w:rsidR="00207AE0">
        <w:rPr>
          <w:rFonts w:eastAsia="等线" w:hint="eastAsia"/>
          <w:lang w:eastAsia="zh-CN"/>
        </w:rPr>
        <w:t>Medishetty</w:t>
      </w:r>
      <w:proofErr w:type="spellEnd"/>
      <w:r w:rsidR="00207AE0">
        <w:rPr>
          <w:rFonts w:eastAsia="等线" w:hint="eastAsia"/>
          <w:lang w:eastAsia="zh-CN"/>
        </w:rPr>
        <w:t xml:space="preserve">, R. </w:t>
      </w:r>
      <w:r w:rsidR="00207AE0">
        <w:t>&amp;</w:t>
      </w:r>
      <w:r w:rsidR="00207AE0">
        <w:rPr>
          <w:rFonts w:eastAsia="等线" w:hint="eastAsia"/>
          <w:lang w:eastAsia="zh-CN"/>
        </w:rPr>
        <w:t xml:space="preserve"> Vittal, J. J. (20</w:t>
      </w:r>
      <w:r w:rsidR="00887A02">
        <w:rPr>
          <w:rFonts w:eastAsia="等线" w:hint="eastAsia"/>
          <w:lang w:eastAsia="zh-CN"/>
        </w:rPr>
        <w:t xml:space="preserve">21) </w:t>
      </w:r>
      <w:r w:rsidR="00887A02" w:rsidRPr="00887A02">
        <w:rPr>
          <w:rFonts w:eastAsia="等线"/>
          <w:i/>
          <w:iCs/>
          <w:lang w:eastAsia="zh-CN"/>
        </w:rPr>
        <w:t>Chem. Rev.</w:t>
      </w:r>
      <w:r w:rsidR="00887A02" w:rsidRPr="00887A02">
        <w:rPr>
          <w:rFonts w:eastAsia="等线"/>
          <w:lang w:eastAsia="zh-CN"/>
        </w:rPr>
        <w:t xml:space="preserve"> </w:t>
      </w:r>
      <w:r w:rsidR="00887A02" w:rsidRPr="00887A02">
        <w:rPr>
          <w:rFonts w:eastAsia="等线"/>
          <w:b/>
          <w:bCs w:val="0"/>
          <w:lang w:eastAsia="zh-CN"/>
        </w:rPr>
        <w:t>121</w:t>
      </w:r>
      <w:r w:rsidR="00887A02" w:rsidRPr="00887A02">
        <w:rPr>
          <w:rFonts w:eastAsia="等线"/>
          <w:lang w:eastAsia="zh-CN"/>
        </w:rPr>
        <w:t>, 3751</w:t>
      </w:r>
      <w:r w:rsidR="00887A02">
        <w:rPr>
          <w:rFonts w:eastAsia="等线" w:hint="eastAsia"/>
          <w:lang w:eastAsia="zh-CN"/>
        </w:rPr>
        <w:t>.</w:t>
      </w:r>
    </w:p>
    <w:p w14:paraId="5D6418D5" w14:textId="48E8532F" w:rsidR="00C3424F" w:rsidRDefault="0005529E" w:rsidP="00770A8F">
      <w:pPr>
        <w:pStyle w:val="4"/>
      </w:pPr>
      <w:r>
        <w:t xml:space="preserve">[2] </w:t>
      </w:r>
      <w:r w:rsidR="00B327FF">
        <w:rPr>
          <w:rFonts w:eastAsia="等线" w:hint="eastAsia"/>
          <w:lang w:eastAsia="zh-CN"/>
        </w:rPr>
        <w:t xml:space="preserve">Campbell, M. G., </w:t>
      </w:r>
      <w:proofErr w:type="spellStart"/>
      <w:r w:rsidR="00B327FF">
        <w:rPr>
          <w:rFonts w:eastAsia="等线" w:hint="eastAsia"/>
          <w:lang w:eastAsia="zh-CN"/>
        </w:rPr>
        <w:t>Sheberla</w:t>
      </w:r>
      <w:proofErr w:type="spellEnd"/>
      <w:r w:rsidR="00B327FF">
        <w:rPr>
          <w:rFonts w:eastAsia="等线" w:hint="eastAsia"/>
          <w:lang w:eastAsia="zh-CN"/>
        </w:rPr>
        <w:t xml:space="preserve">, D., </w:t>
      </w:r>
      <w:r w:rsidR="00F403AC">
        <w:rPr>
          <w:rFonts w:eastAsia="等线" w:hint="eastAsia"/>
          <w:lang w:eastAsia="zh-CN"/>
        </w:rPr>
        <w:t>Liu, S.</w:t>
      </w:r>
      <w:r w:rsidR="00F64E53">
        <w:rPr>
          <w:rFonts w:eastAsia="等线" w:hint="eastAsia"/>
          <w:lang w:eastAsia="zh-CN"/>
        </w:rPr>
        <w:t xml:space="preserve"> </w:t>
      </w:r>
      <w:r w:rsidR="00F403AC">
        <w:rPr>
          <w:rFonts w:eastAsia="等线" w:hint="eastAsia"/>
          <w:lang w:eastAsia="zh-CN"/>
        </w:rPr>
        <w:t>F.</w:t>
      </w:r>
      <w:r w:rsidR="00F64E53">
        <w:rPr>
          <w:rFonts w:eastAsia="等线" w:hint="eastAsia"/>
          <w:lang w:eastAsia="zh-CN"/>
        </w:rPr>
        <w:t>,</w:t>
      </w:r>
      <w:r w:rsidR="00F403AC" w:rsidRPr="00F403AC">
        <w:t xml:space="preserve"> </w:t>
      </w:r>
      <w:r w:rsidR="00F403AC">
        <w:rPr>
          <w:rFonts w:eastAsia="等线" w:hint="eastAsia"/>
          <w:lang w:eastAsia="zh-CN"/>
        </w:rPr>
        <w:t>Swager, T. M.</w:t>
      </w:r>
      <w:r w:rsidR="00F64E53" w:rsidRPr="00F64E53">
        <w:t xml:space="preserve"> </w:t>
      </w:r>
      <w:r w:rsidR="00F64E53">
        <w:t>&amp;</w:t>
      </w:r>
      <w:r w:rsidR="00F64E53">
        <w:rPr>
          <w:rFonts w:eastAsia="等线" w:hint="eastAsia"/>
          <w:lang w:eastAsia="zh-CN"/>
        </w:rPr>
        <w:t xml:space="preserve"> </w:t>
      </w:r>
      <w:r w:rsidR="009E7BAB">
        <w:rPr>
          <w:rFonts w:eastAsia="等线" w:hint="eastAsia"/>
          <w:lang w:eastAsia="zh-CN"/>
        </w:rPr>
        <w:t>Dinc</w:t>
      </w:r>
      <w:r w:rsidR="009E7BAB" w:rsidRPr="009E7BAB">
        <w:rPr>
          <w:rFonts w:ascii="Cambria" w:eastAsia="等线" w:hAnsi="Cambria" w:cs="Cambria"/>
          <w:lang w:eastAsia="zh-CN"/>
        </w:rPr>
        <w:t>ă</w:t>
      </w:r>
      <w:r w:rsidR="009E7BAB">
        <w:rPr>
          <w:rFonts w:eastAsia="等线" w:hint="eastAsia"/>
          <w:lang w:eastAsia="zh-CN"/>
        </w:rPr>
        <w:t>, M.</w:t>
      </w:r>
      <w:r w:rsidR="00F403AC">
        <w:rPr>
          <w:rFonts w:eastAsia="等线" w:hint="eastAsia"/>
          <w:lang w:eastAsia="zh-CN"/>
        </w:rPr>
        <w:t xml:space="preserve"> (2015) </w:t>
      </w:r>
      <w:proofErr w:type="spellStart"/>
      <w:r w:rsidR="00F64E53" w:rsidRPr="00BE0BB0">
        <w:rPr>
          <w:rFonts w:eastAsia="等线"/>
          <w:i/>
          <w:iCs/>
          <w:lang w:eastAsia="zh-CN"/>
        </w:rPr>
        <w:t>Angew</w:t>
      </w:r>
      <w:proofErr w:type="spellEnd"/>
      <w:r w:rsidR="00F64E53" w:rsidRPr="00BE0BB0">
        <w:rPr>
          <w:rFonts w:eastAsia="等线"/>
          <w:i/>
          <w:iCs/>
          <w:lang w:eastAsia="zh-CN"/>
        </w:rPr>
        <w:t>. Chem. Int. Ed.</w:t>
      </w:r>
      <w:r w:rsidR="009E7BAB">
        <w:rPr>
          <w:rFonts w:eastAsia="等线" w:hint="eastAsia"/>
          <w:lang w:eastAsia="zh-CN"/>
        </w:rPr>
        <w:t xml:space="preserve"> </w:t>
      </w:r>
      <w:r w:rsidR="009E7BAB" w:rsidRPr="00BE0BB0">
        <w:rPr>
          <w:rFonts w:eastAsia="等线" w:hint="eastAsia"/>
          <w:b/>
          <w:bCs w:val="0"/>
          <w:lang w:eastAsia="zh-CN"/>
        </w:rPr>
        <w:t>54</w:t>
      </w:r>
      <w:r w:rsidR="009E7BAB">
        <w:rPr>
          <w:rFonts w:eastAsia="等线" w:hint="eastAsia"/>
          <w:lang w:eastAsia="zh-CN"/>
        </w:rPr>
        <w:t xml:space="preserve">, </w:t>
      </w:r>
      <w:r w:rsidR="00BE0BB0">
        <w:rPr>
          <w:rFonts w:eastAsia="等线" w:hint="eastAsia"/>
          <w:lang w:eastAsia="zh-CN"/>
        </w:rPr>
        <w:t>4349.</w:t>
      </w:r>
    </w:p>
    <w:p w14:paraId="641991D2" w14:textId="09A18D42" w:rsidR="00770A8F" w:rsidRPr="0079413B" w:rsidRDefault="00770A8F" w:rsidP="0079413B">
      <w:pPr>
        <w:pStyle w:val="4"/>
        <w:rPr>
          <w:rFonts w:eastAsia="等线"/>
          <w:lang w:eastAsia="zh-CN"/>
        </w:rPr>
      </w:pPr>
      <w:r>
        <w:t>[</w:t>
      </w:r>
      <w:r>
        <w:rPr>
          <w:rFonts w:eastAsia="等线" w:hint="eastAsia"/>
          <w:lang w:eastAsia="zh-CN"/>
        </w:rPr>
        <w:t>3</w:t>
      </w:r>
      <w:r>
        <w:t xml:space="preserve">] </w:t>
      </w:r>
      <w:r w:rsidR="0065427B">
        <w:rPr>
          <w:rFonts w:eastAsia="等线" w:hint="eastAsia"/>
          <w:lang w:eastAsia="zh-CN"/>
        </w:rPr>
        <w:t xml:space="preserve">Savko, M., Fox, G., </w:t>
      </w:r>
      <w:proofErr w:type="spellStart"/>
      <w:r w:rsidR="0065427B">
        <w:rPr>
          <w:rFonts w:eastAsia="等线" w:hint="eastAsia"/>
          <w:lang w:eastAsia="zh-CN"/>
        </w:rPr>
        <w:t>Stura</w:t>
      </w:r>
      <w:proofErr w:type="spellEnd"/>
      <w:r w:rsidR="0065427B">
        <w:rPr>
          <w:rFonts w:eastAsia="等线" w:hint="eastAsia"/>
          <w:lang w:eastAsia="zh-CN"/>
        </w:rPr>
        <w:t xml:space="preserve">, E. </w:t>
      </w:r>
      <w:r w:rsidR="0065427B">
        <w:t>&amp;</w:t>
      </w:r>
      <w:r w:rsidR="0065427B">
        <w:rPr>
          <w:rFonts w:eastAsia="等线" w:hint="eastAsia"/>
          <w:lang w:eastAsia="zh-CN"/>
        </w:rPr>
        <w:t xml:space="preserve"> Shepard, W.</w:t>
      </w:r>
      <w:r w:rsidR="00A23DCF">
        <w:rPr>
          <w:rFonts w:eastAsia="等线" w:hint="eastAsia"/>
          <w:lang w:eastAsia="zh-CN"/>
        </w:rPr>
        <w:t xml:space="preserve"> (2016) Acta </w:t>
      </w:r>
      <w:proofErr w:type="spellStart"/>
      <w:r w:rsidR="00A23DCF">
        <w:rPr>
          <w:rFonts w:eastAsia="等线" w:hint="eastAsia"/>
          <w:lang w:eastAsia="zh-CN"/>
        </w:rPr>
        <w:t>Cryst</w:t>
      </w:r>
      <w:proofErr w:type="spellEnd"/>
      <w:r w:rsidR="00A23DCF">
        <w:rPr>
          <w:rFonts w:eastAsia="等线" w:hint="eastAsia"/>
          <w:lang w:eastAsia="zh-CN"/>
        </w:rPr>
        <w:t xml:space="preserve">. </w:t>
      </w:r>
      <w:r w:rsidR="00A23DCF" w:rsidRPr="00A23DCF">
        <w:rPr>
          <w:rFonts w:eastAsia="等线" w:hint="eastAsia"/>
          <w:b/>
          <w:bCs w:val="0"/>
          <w:lang w:eastAsia="zh-CN"/>
        </w:rPr>
        <w:t>A72</w:t>
      </w:r>
      <w:r w:rsidR="00A23DCF">
        <w:rPr>
          <w:rFonts w:eastAsia="等线" w:hint="eastAsia"/>
          <w:lang w:eastAsia="zh-CN"/>
        </w:rPr>
        <w:t>, s191.</w:t>
      </w:r>
    </w:p>
    <w:sectPr w:rsidR="00770A8F" w:rsidRPr="0079413B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1DCE" w14:textId="77777777" w:rsidR="00965061" w:rsidRDefault="00965061">
      <w:pPr>
        <w:spacing w:after="0"/>
      </w:pPr>
      <w:r>
        <w:separator/>
      </w:r>
    </w:p>
  </w:endnote>
  <w:endnote w:type="continuationSeparator" w:id="0">
    <w:p w14:paraId="3B4FB6CB" w14:textId="77777777" w:rsidR="00965061" w:rsidRDefault="00965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0798" w14:textId="77777777" w:rsidR="009C5A3F" w:rsidRDefault="0005529E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8BB2E02" w14:textId="77777777" w:rsidR="009C5A3F" w:rsidRDefault="009C5A3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B90B" w14:textId="77777777" w:rsidR="00965061" w:rsidRDefault="00965061">
      <w:pPr>
        <w:spacing w:after="0"/>
      </w:pPr>
      <w:r>
        <w:separator/>
      </w:r>
    </w:p>
  </w:footnote>
  <w:footnote w:type="continuationSeparator" w:id="0">
    <w:p w14:paraId="31AD7E40" w14:textId="77777777" w:rsidR="00965061" w:rsidRDefault="009650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A591" w14:textId="282F230E" w:rsidR="009C5A3F" w:rsidRDefault="0005529E">
    <w:pPr>
      <w:tabs>
        <w:tab w:val="center" w:pos="4703"/>
        <w:tab w:val="right" w:pos="9406"/>
      </w:tabs>
    </w:pPr>
    <w:r>
      <w:rPr>
        <w:b/>
        <w:bCs/>
      </w:rPr>
      <w:t>M</w:t>
    </w:r>
    <w:r w:rsidR="001C099A">
      <w:rPr>
        <w:rFonts w:eastAsia="等线" w:hint="eastAsia"/>
        <w:b/>
        <w:bCs/>
        <w:lang w:eastAsia="zh-CN"/>
      </w:rPr>
      <w:t>32</w:t>
    </w:r>
    <w:r w:rsidR="004E2826">
      <w:rPr>
        <w:rFonts w:eastAsia="等线"/>
        <w:lang w:eastAsia="zh-CN"/>
      </w:rPr>
      <w:tab/>
    </w:r>
    <w:r w:rsidR="004E2826" w:rsidRPr="004E2826">
      <w:rPr>
        <w:b/>
        <w:bCs/>
      </w:rPr>
      <w:t>Designing the void: structural mastery in advanced porous materials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F"/>
    <w:rsid w:val="00005044"/>
    <w:rsid w:val="00042D64"/>
    <w:rsid w:val="0005529E"/>
    <w:rsid w:val="000F3542"/>
    <w:rsid w:val="00190B80"/>
    <w:rsid w:val="001C099A"/>
    <w:rsid w:val="00207AE0"/>
    <w:rsid w:val="00225814"/>
    <w:rsid w:val="00242F85"/>
    <w:rsid w:val="00295CA1"/>
    <w:rsid w:val="002F13D2"/>
    <w:rsid w:val="00322A6E"/>
    <w:rsid w:val="003F63D6"/>
    <w:rsid w:val="0041588A"/>
    <w:rsid w:val="00456A87"/>
    <w:rsid w:val="00474F0A"/>
    <w:rsid w:val="004E2287"/>
    <w:rsid w:val="004E2826"/>
    <w:rsid w:val="00517AD7"/>
    <w:rsid w:val="00527F68"/>
    <w:rsid w:val="00536BA9"/>
    <w:rsid w:val="00553507"/>
    <w:rsid w:val="0065427B"/>
    <w:rsid w:val="00770A8F"/>
    <w:rsid w:val="0079413B"/>
    <w:rsid w:val="007B15BE"/>
    <w:rsid w:val="00854D93"/>
    <w:rsid w:val="00887A02"/>
    <w:rsid w:val="00965061"/>
    <w:rsid w:val="009C5A3F"/>
    <w:rsid w:val="009C7715"/>
    <w:rsid w:val="009E7BAB"/>
    <w:rsid w:val="00A01E06"/>
    <w:rsid w:val="00A23DCF"/>
    <w:rsid w:val="00A61D5C"/>
    <w:rsid w:val="00AE0A43"/>
    <w:rsid w:val="00B327FF"/>
    <w:rsid w:val="00B969E3"/>
    <w:rsid w:val="00BE0BB0"/>
    <w:rsid w:val="00C3424F"/>
    <w:rsid w:val="00CB0451"/>
    <w:rsid w:val="00D01189"/>
    <w:rsid w:val="00DA5686"/>
    <w:rsid w:val="00DB510B"/>
    <w:rsid w:val="00E03D4C"/>
    <w:rsid w:val="00F02708"/>
    <w:rsid w:val="00F403AC"/>
    <w:rsid w:val="00F64E53"/>
    <w:rsid w:val="00F67839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D09B9"/>
  <w15:docId w15:val="{5F5E265F-5BE1-457B-A7D8-6170EDFE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uppressAutoHyphens/>
      <w:spacing w:after="120"/>
      <w:jc w:val="both"/>
    </w:pPr>
    <w:rPr>
      <w:rFonts w:eastAsia="Times New Roman"/>
      <w:lang w:val="en-GB"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标题 2 字符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标题 3 字符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标题 4 字符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HTML 地址 字符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标题 5 字符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标题 6 字符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页眉 字符"/>
    <w:link w:val="a4"/>
    <w:uiPriority w:val="99"/>
    <w:qFormat/>
    <w:rsid w:val="00D13351"/>
    <w:rPr>
      <w:lang w:val="en-GB" w:eastAsia="de-DE"/>
    </w:rPr>
  </w:style>
  <w:style w:type="character" w:customStyle="1" w:styleId="a5">
    <w:name w:val="页脚 字符"/>
    <w:link w:val="a6"/>
    <w:uiPriority w:val="99"/>
    <w:qFormat/>
    <w:rsid w:val="00D13351"/>
    <w:rPr>
      <w:lang w:val="en-GB" w:eastAsia="de-DE"/>
    </w:rPr>
  </w:style>
  <w:style w:type="character" w:customStyle="1" w:styleId="a7">
    <w:name w:val="批注框文本 字符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E03D4C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E03D4C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A01E06"/>
    <w:rPr>
      <w:rFonts w:eastAsia="Times New Roman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1908</Characters>
  <Application>Microsoft Office Word</Application>
  <DocSecurity>0</DocSecurity>
  <Lines>15</Lines>
  <Paragraphs>4</Paragraphs>
  <ScaleCrop>false</ScaleCrop>
  <Company>MFF UK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Xu Jia</cp:lastModifiedBy>
  <cp:revision>4</cp:revision>
  <cp:lastPrinted>2025-05-06T18:41:00Z</cp:lastPrinted>
  <dcterms:created xsi:type="dcterms:W3CDTF">2025-05-07T08:15:00Z</dcterms:created>
  <dcterms:modified xsi:type="dcterms:W3CDTF">2025-05-09T07:28:00Z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