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FDE" w14:textId="70C2FA14" w:rsidR="003D4B57" w:rsidRDefault="00E41A34">
      <w:pPr>
        <w:pStyle w:val="Heading1"/>
      </w:pPr>
      <w:r>
        <w:t>D</w:t>
      </w:r>
      <w:r w:rsidRPr="00E41A34">
        <w:t>iscovery of new polymorphs of metal organic frameworks</w:t>
      </w:r>
      <w:r>
        <w:t xml:space="preserve"> </w:t>
      </w:r>
      <w:r w:rsidRPr="007A1BD9">
        <w:rPr>
          <w:i/>
          <w:iCs/>
        </w:rPr>
        <w:t>via</w:t>
      </w:r>
      <w:r>
        <w:t xml:space="preserve"> m</w:t>
      </w:r>
      <w:r w:rsidRPr="00E41A34">
        <w:t>echanochemical screening</w:t>
      </w:r>
      <w:r w:rsidR="00000000">
        <w:t xml:space="preserve"> </w:t>
      </w:r>
    </w:p>
    <w:p w14:paraId="0F7060D6" w14:textId="1C0059EC" w:rsidR="00C134F6" w:rsidRDefault="00E41A34" w:rsidP="00C134F6">
      <w:pPr>
        <w:pStyle w:val="Heading2"/>
        <w:rPr>
          <w:i/>
        </w:rPr>
      </w:pPr>
      <w:r w:rsidRPr="00E41A34">
        <w:t>Ivana Brekalo</w:t>
      </w:r>
      <w:r w:rsidRPr="00C134F6">
        <w:rPr>
          <w:iCs w:val="0"/>
          <w:vertAlign w:val="superscript"/>
        </w:rPr>
        <w:t>1</w:t>
      </w:r>
      <w:r w:rsidRPr="00E41A34">
        <w:t>, Katarina Lisac</w:t>
      </w:r>
      <w:r w:rsidRPr="00C134F6">
        <w:rPr>
          <w:iCs w:val="0"/>
          <w:vertAlign w:val="superscript"/>
        </w:rPr>
        <w:t>1</w:t>
      </w:r>
      <w:r w:rsidRPr="00E41A34">
        <w:t>, Joseph R. Ramirez</w:t>
      </w:r>
      <w:r w:rsidRPr="00C134F6">
        <w:rPr>
          <w:iCs w:val="0"/>
          <w:vertAlign w:val="superscript"/>
        </w:rPr>
        <w:t>2</w:t>
      </w:r>
      <w:r w:rsidRPr="00E41A34">
        <w:t>, Petra Pongrac</w:t>
      </w:r>
      <w:r w:rsidRPr="00C134F6">
        <w:rPr>
          <w:iCs w:val="0"/>
          <w:vertAlign w:val="superscript"/>
        </w:rPr>
        <w:t>3</w:t>
      </w:r>
      <w:r w:rsidRPr="00E41A34">
        <w:t xml:space="preserve">, </w:t>
      </w:r>
      <w:r w:rsidRPr="00C134F6">
        <w:rPr>
          <w:iCs w:val="0"/>
        </w:rPr>
        <w:t>Srećko Valić</w:t>
      </w:r>
      <w:r w:rsidRPr="00C134F6">
        <w:rPr>
          <w:iCs w:val="0"/>
          <w:vertAlign w:val="superscript"/>
        </w:rPr>
        <w:t>1</w:t>
      </w:r>
      <w:r w:rsidRPr="00C134F6">
        <w:rPr>
          <w:iCs w:val="0"/>
        </w:rPr>
        <w:t xml:space="preserve">, </w:t>
      </w:r>
      <w:r w:rsidR="00C134F6" w:rsidRPr="00C134F6">
        <w:rPr>
          <w:iCs w:val="0"/>
        </w:rPr>
        <w:t>Andreas Puškarić</w:t>
      </w:r>
      <w:r w:rsidR="00C134F6" w:rsidRPr="00C134F6">
        <w:rPr>
          <w:iCs w:val="0"/>
          <w:vertAlign w:val="superscript"/>
        </w:rPr>
        <w:t>1</w:t>
      </w:r>
      <w:r w:rsidR="00C134F6">
        <w:rPr>
          <w:i/>
        </w:rPr>
        <w:t xml:space="preserve">, </w:t>
      </w:r>
      <w:r w:rsidRPr="00E41A34">
        <w:t>Yizhi Zhu</w:t>
      </w:r>
      <w:r w:rsidRPr="00C134F6">
        <w:rPr>
          <w:iCs w:val="0"/>
          <w:vertAlign w:val="superscript"/>
        </w:rPr>
        <w:t>1</w:t>
      </w:r>
      <w:r w:rsidRPr="00E41A34">
        <w:t>, Michael Ferguson</w:t>
      </w:r>
      <w:r w:rsidRPr="00C134F6">
        <w:rPr>
          <w:iCs w:val="0"/>
          <w:vertAlign w:val="superscript"/>
        </w:rPr>
        <w:t>4</w:t>
      </w:r>
      <w:r w:rsidRPr="00E41A34">
        <w:t>, Joseph M. Marrett</w:t>
      </w:r>
      <w:r w:rsidRPr="00C134F6">
        <w:rPr>
          <w:iCs w:val="0"/>
          <w:vertAlign w:val="superscript"/>
        </w:rPr>
        <w:t>4</w:t>
      </w:r>
      <w:r w:rsidRPr="00E41A34">
        <w:t>, Mihails Arhangelskis</w:t>
      </w:r>
      <w:r w:rsidRPr="00C134F6">
        <w:rPr>
          <w:iCs w:val="0"/>
          <w:vertAlign w:val="superscript"/>
        </w:rPr>
        <w:t>5</w:t>
      </w:r>
      <w:r w:rsidRPr="00E41A34">
        <w:t>, Tomislav Friščić</w:t>
      </w:r>
      <w:r w:rsidRPr="00C134F6">
        <w:rPr>
          <w:iCs w:val="0"/>
          <w:vertAlign w:val="superscript"/>
        </w:rPr>
        <w:t>5</w:t>
      </w:r>
      <w:r w:rsidRPr="00E41A34">
        <w:t xml:space="preserve"> and K. Travis Holman</w:t>
      </w:r>
      <w:r w:rsidRPr="00C134F6">
        <w:rPr>
          <w:iCs w:val="0"/>
          <w:vertAlign w:val="superscript"/>
        </w:rPr>
        <w:t>2</w:t>
      </w:r>
    </w:p>
    <w:p w14:paraId="2C227B6C" w14:textId="35C88DED" w:rsidR="001945D2" w:rsidRPr="001945D2" w:rsidRDefault="001945D2" w:rsidP="001945D2">
      <w:pPr>
        <w:pStyle w:val="Heading3"/>
      </w:pPr>
      <w:r w:rsidRPr="001945D2">
        <w:rPr>
          <w:vertAlign w:val="superscript"/>
        </w:rPr>
        <w:t>1</w:t>
      </w:r>
      <w:r w:rsidRPr="001945D2">
        <w:t>Division of Physical Chemistry, Ruđer Bošković Institute, Zagreb, Croatia</w:t>
      </w:r>
      <w:r>
        <w:t xml:space="preserve">, </w:t>
      </w:r>
      <w:r w:rsidRPr="001945D2">
        <w:rPr>
          <w:vertAlign w:val="superscript"/>
        </w:rPr>
        <w:t>2</w:t>
      </w:r>
      <w:r w:rsidRPr="001945D2">
        <w:t>Department of Chemistry, Georgetown University, Washington, D.C., USA</w:t>
      </w:r>
      <w:r>
        <w:t xml:space="preserve">, </w:t>
      </w:r>
      <w:r w:rsidRPr="001945D2">
        <w:rPr>
          <w:vertAlign w:val="superscript"/>
        </w:rPr>
        <w:t>3</w:t>
      </w:r>
      <w:r w:rsidRPr="001945D2">
        <w:t>Faculty of Chemical Engineering and Technology, University of Zagreb, Zagreb, Croatia</w:t>
      </w:r>
      <w:r>
        <w:t xml:space="preserve">, </w:t>
      </w:r>
      <w:r w:rsidRPr="001945D2">
        <w:rPr>
          <w:vertAlign w:val="superscript"/>
        </w:rPr>
        <w:t>4</w:t>
      </w:r>
      <w:r w:rsidRPr="001945D2">
        <w:t>School of Chemistry, University of Birmingham, Birmingham, UK</w:t>
      </w:r>
      <w:r>
        <w:t xml:space="preserve">, </w:t>
      </w:r>
      <w:r w:rsidRPr="001945D2">
        <w:rPr>
          <w:vertAlign w:val="superscript"/>
        </w:rPr>
        <w:t>5</w:t>
      </w:r>
      <w:r w:rsidRPr="001945D2">
        <w:t>Faculty of Chemistry, University of Warsaw, Warsaw, Poland</w:t>
      </w:r>
      <w:r>
        <w:t>,</w:t>
      </w:r>
    </w:p>
    <w:p w14:paraId="77F4DD92" w14:textId="07E30AD0" w:rsidR="003D4B57" w:rsidRDefault="001945D2" w:rsidP="001945D2">
      <w:pPr>
        <w:pStyle w:val="Heading3"/>
        <w:rPr>
          <w:sz w:val="18"/>
          <w:szCs w:val="18"/>
        </w:rPr>
      </w:pPr>
      <w:r>
        <w:t>ibrekalo</w:t>
      </w:r>
      <w:r w:rsidR="00000000">
        <w:t>@</w:t>
      </w:r>
      <w:r>
        <w:t>irb.hr</w:t>
      </w:r>
      <w:r w:rsidR="00000000">
        <w:rPr>
          <w:lang w:eastAsia="de-DE"/>
        </w:rPr>
        <w:br/>
      </w:r>
    </w:p>
    <w:p w14:paraId="39377957" w14:textId="030FEE9A" w:rsidR="00D8135B" w:rsidRPr="00D8135B" w:rsidRDefault="00D8135B" w:rsidP="00D8135B">
      <w:pPr>
        <w:rPr>
          <w:color w:val="000000"/>
        </w:rPr>
      </w:pPr>
      <w:r w:rsidRPr="00D8135B">
        <w:rPr>
          <w:color w:val="000000"/>
        </w:rPr>
        <w:t>Zeolitic Imidazolate Frameworks (ZIFs) are a class of MOFs built from tetrahedral metal centers and imidazolate linkers</w:t>
      </w:r>
      <w:r w:rsidR="007A1BD9">
        <w:rPr>
          <w:color w:val="000000"/>
        </w:rPr>
        <w:t xml:space="preserve">. </w:t>
      </w:r>
      <w:r w:rsidR="00E46FD2">
        <w:rPr>
          <w:color w:val="000000"/>
        </w:rPr>
        <w:t>These materials can adopt many zeolitic and nonzeolitic topologies, and t</w:t>
      </w:r>
      <w:r w:rsidR="007A1BD9">
        <w:rPr>
          <w:color w:val="000000"/>
        </w:rPr>
        <w:t>heir many potential applications</w:t>
      </w:r>
      <w:r w:rsidRPr="00D8135B">
        <w:rPr>
          <w:color w:val="000000"/>
        </w:rPr>
        <w:t xml:space="preserve"> such as separations, gas capture, and catalysis, are </w:t>
      </w:r>
      <w:r w:rsidR="007A1BD9">
        <w:rPr>
          <w:color w:val="000000"/>
        </w:rPr>
        <w:t xml:space="preserve">all </w:t>
      </w:r>
      <w:r w:rsidRPr="00D8135B">
        <w:rPr>
          <w:color w:val="000000"/>
        </w:rPr>
        <w:t xml:space="preserve">highly dependent on their solid form.[1] For example, the </w:t>
      </w:r>
      <w:r w:rsidR="00E46FD2">
        <w:rPr>
          <w:color w:val="000000"/>
        </w:rPr>
        <w:t>archetypal ZIF representative</w:t>
      </w:r>
      <w:r w:rsidRPr="00D8135B">
        <w:rPr>
          <w:color w:val="000000"/>
        </w:rPr>
        <w:t xml:space="preserve"> zinc imidazolate (Zn</w:t>
      </w:r>
      <w:r w:rsidRPr="00D8135B">
        <w:rPr>
          <w:b/>
          <w:bCs/>
          <w:color w:val="000000"/>
        </w:rPr>
        <w:t>Im</w:t>
      </w:r>
      <w:r w:rsidRPr="00D8135B">
        <w:rPr>
          <w:color w:val="000000"/>
          <w:vertAlign w:val="subscript"/>
        </w:rPr>
        <w:t>2</w:t>
      </w:r>
      <w:r w:rsidRPr="00D8135B">
        <w:rPr>
          <w:color w:val="000000"/>
        </w:rPr>
        <w:t xml:space="preserve">), is known to exist in at least 18 topologies[2], which </w:t>
      </w:r>
      <w:r w:rsidR="00E46FD2">
        <w:rPr>
          <w:color w:val="000000"/>
        </w:rPr>
        <w:t>commonly</w:t>
      </w:r>
      <w:r w:rsidRPr="00D8135B">
        <w:rPr>
          <w:color w:val="000000"/>
        </w:rPr>
        <w:t xml:space="preserve"> appear concomitantly</w:t>
      </w:r>
      <w:r w:rsidR="00E46FD2">
        <w:rPr>
          <w:color w:val="000000"/>
        </w:rPr>
        <w:t>. Furthermore, ZIFs are often quite flexible so many of these topologies can appear in multiple distinct crystallographic forms, often depending on the incorporated guests</w:t>
      </w:r>
      <w:r w:rsidRPr="00D8135B">
        <w:rPr>
          <w:color w:val="000000"/>
        </w:rPr>
        <w:t xml:space="preserve">. Mechanochemistry has recently emerged as an excellent method for preparing MOFs, as it is fast, quantitative in yield, independent of solubility and creates little waste.[3] Importantly, it can be effectively applied to ZIF syntheses, </w:t>
      </w:r>
      <w:r w:rsidR="00E46FD2">
        <w:rPr>
          <w:color w:val="000000"/>
        </w:rPr>
        <w:t>and</w:t>
      </w:r>
      <w:r w:rsidRPr="00D8135B">
        <w:rPr>
          <w:color w:val="000000"/>
        </w:rPr>
        <w:t xml:space="preserve"> the ZIF solid form outcome</w:t>
      </w:r>
      <w:r w:rsidR="00E46FD2">
        <w:rPr>
          <w:color w:val="000000"/>
        </w:rPr>
        <w:t xml:space="preserve"> can be controlled</w:t>
      </w:r>
      <w:r w:rsidRPr="00D8135B">
        <w:rPr>
          <w:color w:val="000000"/>
        </w:rPr>
        <w:t xml:space="preserve"> by </w:t>
      </w:r>
      <w:r w:rsidR="00E46FD2">
        <w:rPr>
          <w:color w:val="000000"/>
        </w:rPr>
        <w:t>using</w:t>
      </w:r>
      <w:r w:rsidRPr="00D8135B">
        <w:rPr>
          <w:color w:val="000000"/>
        </w:rPr>
        <w:t xml:space="preserve"> different additives, such as liquids or salts.[4] </w:t>
      </w:r>
    </w:p>
    <w:p w14:paraId="2036D081" w14:textId="160E5C52" w:rsidR="00D8135B" w:rsidRPr="00D8135B" w:rsidRDefault="00D8135B" w:rsidP="00D8135B">
      <w:pPr>
        <w:rPr>
          <w:color w:val="000000"/>
        </w:rPr>
      </w:pPr>
      <w:r w:rsidRPr="00D8135B">
        <w:rPr>
          <w:color w:val="000000"/>
        </w:rPr>
        <w:t xml:space="preserve">We </w:t>
      </w:r>
      <w:r w:rsidR="00E46FD2">
        <w:rPr>
          <w:color w:val="000000"/>
        </w:rPr>
        <w:t>here demonstrate</w:t>
      </w:r>
      <w:r w:rsidRPr="00D8135B">
        <w:rPr>
          <w:color w:val="000000"/>
        </w:rPr>
        <w:t xml:space="preserve"> the use of commercially available liquid templates as structure-directing agents in the mechanochemical synthesis of new solid forms of zinc imidazolate (Zn</w:t>
      </w:r>
      <w:r w:rsidRPr="00D8135B">
        <w:rPr>
          <w:b/>
          <w:bCs/>
          <w:color w:val="000000"/>
        </w:rPr>
        <w:t>Im</w:t>
      </w:r>
      <w:r w:rsidRPr="00D8135B">
        <w:rPr>
          <w:color w:val="000000"/>
          <w:vertAlign w:val="subscript"/>
        </w:rPr>
        <w:t>2</w:t>
      </w:r>
      <w:r w:rsidRPr="00D8135B">
        <w:rPr>
          <w:color w:val="000000"/>
        </w:rPr>
        <w:t>). We show that multiple Zn</w:t>
      </w:r>
      <w:r w:rsidRPr="00D8135B">
        <w:rPr>
          <w:b/>
          <w:bCs/>
          <w:color w:val="000000"/>
        </w:rPr>
        <w:t>Im</w:t>
      </w:r>
      <w:r w:rsidRPr="00D8135B">
        <w:rPr>
          <w:color w:val="000000"/>
          <w:vertAlign w:val="subscript"/>
        </w:rPr>
        <w:t>2</w:t>
      </w:r>
      <w:r w:rsidRPr="00D8135B">
        <w:rPr>
          <w:color w:val="000000"/>
        </w:rPr>
        <w:t xml:space="preserve"> forms can be prepared using LAG screening, including new forms of the</w:t>
      </w:r>
      <w:r w:rsidRPr="00D8135B">
        <w:rPr>
          <w:b/>
          <w:bCs/>
          <w:color w:val="000000"/>
        </w:rPr>
        <w:t xml:space="preserve"> crb</w:t>
      </w:r>
      <w:r w:rsidRPr="00D8135B">
        <w:rPr>
          <w:color w:val="000000"/>
        </w:rPr>
        <w:t xml:space="preserve"> topology, </w:t>
      </w:r>
      <w:r w:rsidR="00E46FD2">
        <w:rPr>
          <w:color w:val="000000"/>
        </w:rPr>
        <w:t>and can often interconvert. Furthermore, we</w:t>
      </w:r>
      <w:r w:rsidRPr="00D8135B">
        <w:rPr>
          <w:color w:val="000000"/>
        </w:rPr>
        <w:t xml:space="preserve"> use previously validated periodic DFT modeling[5] to explain the observed synthetic results</w:t>
      </w:r>
      <w:r w:rsidR="00E46FD2">
        <w:rPr>
          <w:color w:val="000000"/>
        </w:rPr>
        <w:t>, and in some cases predict the outcomes of screening</w:t>
      </w:r>
      <w:r w:rsidRPr="00D8135B">
        <w:rPr>
          <w:color w:val="000000"/>
        </w:rPr>
        <w:t>.</w:t>
      </w:r>
    </w:p>
    <w:p w14:paraId="71E9ACCB" w14:textId="77777777" w:rsidR="00D8135B" w:rsidRPr="00D42067" w:rsidRDefault="00D8135B" w:rsidP="00D8135B">
      <w:pPr>
        <w:rPr>
          <w:rFonts w:ascii="Arial" w:hAnsi="Arial"/>
          <w:color w:val="000000"/>
        </w:rPr>
      </w:pPr>
    </w:p>
    <w:p w14:paraId="2C96CFF9" w14:textId="77777777" w:rsidR="00D8135B" w:rsidRPr="00B8039D" w:rsidRDefault="00D8135B" w:rsidP="00D8135B">
      <w:pPr>
        <w:jc w:val="center"/>
        <w:rPr>
          <w:rFonts w:ascii="Calibri" w:hAnsi="Calibri" w:cs="Calibri"/>
          <w:sz w:val="22"/>
          <w:szCs w:val="22"/>
        </w:rPr>
      </w:pPr>
      <w:r w:rsidRPr="00B8039D">
        <w:rPr>
          <w:rFonts w:ascii="Calibri" w:hAnsi="Calibri" w:cs="Calibri"/>
          <w:noProof/>
          <w:sz w:val="22"/>
          <w:szCs w:val="22"/>
        </w:rPr>
        <w:pict w14:anchorId="4379F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 diagram of different colored circles and arrows&#10;&#10;Description automatically generated" style="width:417pt;height:162pt;visibility:visible">
            <v:imagedata r:id="rId7" o:title="A diagram of different colored circles and arrows&#10;&#10;Description automatically generated"/>
          </v:shape>
        </w:pict>
      </w:r>
    </w:p>
    <w:p w14:paraId="36DA9487" w14:textId="2F4B8BFF" w:rsidR="00D8135B" w:rsidRPr="00D8135B" w:rsidRDefault="00D8135B" w:rsidP="00D8135B">
      <w:pPr>
        <w:pStyle w:val="Heading6"/>
      </w:pPr>
      <w:r w:rsidRPr="00D8135B">
        <w:rPr>
          <w:b/>
          <w:bCs w:val="0"/>
        </w:rPr>
        <w:t>Figure 1</w:t>
      </w:r>
      <w:r w:rsidRPr="00D8135B">
        <w:rPr>
          <w:b/>
          <w:bCs w:val="0"/>
        </w:rPr>
        <w:t>.</w:t>
      </w:r>
      <w:r w:rsidRPr="00347992">
        <w:t xml:space="preserve"> Schematic representation of the dependence of form outcome of the mechanochemical synthesis of Zn</w:t>
      </w:r>
      <w:r w:rsidRPr="00347992">
        <w:rPr>
          <w:b/>
        </w:rPr>
        <w:t>Im</w:t>
      </w:r>
      <w:r w:rsidRPr="00347992">
        <w:rPr>
          <w:vertAlign w:val="subscript"/>
        </w:rPr>
        <w:t>2</w:t>
      </w:r>
      <w:r w:rsidRPr="00347992">
        <w:t xml:space="preserve"> on liquid additives, and the interplay of computation and experiment.</w:t>
      </w:r>
    </w:p>
    <w:p w14:paraId="5F916B29" w14:textId="77777777" w:rsidR="00D8135B" w:rsidRDefault="00D8135B" w:rsidP="00D8135B">
      <w:pPr>
        <w:pStyle w:val="Heading4"/>
      </w:pPr>
    </w:p>
    <w:p w14:paraId="585E5A47" w14:textId="13EF54B5" w:rsidR="00D8135B" w:rsidRPr="00347992" w:rsidRDefault="00D8135B" w:rsidP="00D8135B">
      <w:pPr>
        <w:pStyle w:val="Heading4"/>
      </w:pPr>
      <w:r>
        <w:t xml:space="preserve">[1] </w:t>
      </w:r>
      <w:r w:rsidRPr="00347992">
        <w:t xml:space="preserve">B. Chen, Z. Yang, Y. Zhu, Y. Xia, </w:t>
      </w:r>
      <w:r w:rsidRPr="00347992">
        <w:rPr>
          <w:i/>
          <w:iCs/>
        </w:rPr>
        <w:t>J. Mater. Chem. A</w:t>
      </w:r>
      <w:r w:rsidRPr="00347992">
        <w:t xml:space="preserve"> </w:t>
      </w:r>
      <w:r w:rsidRPr="00347992">
        <w:rPr>
          <w:b/>
        </w:rPr>
        <w:t>2014</w:t>
      </w:r>
      <w:r w:rsidRPr="00347992">
        <w:t xml:space="preserve">, </w:t>
      </w:r>
      <w:r w:rsidRPr="00347992">
        <w:rPr>
          <w:i/>
          <w:iCs/>
        </w:rPr>
        <w:t>2</w:t>
      </w:r>
      <w:r w:rsidRPr="00347992">
        <w:t xml:space="preserve">, 16811–16831. </w:t>
      </w:r>
    </w:p>
    <w:p w14:paraId="36BA3075" w14:textId="77777777" w:rsidR="00D8135B" w:rsidRPr="00347992" w:rsidRDefault="00D8135B" w:rsidP="00D8135B">
      <w:pPr>
        <w:pStyle w:val="Heading4"/>
      </w:pPr>
      <w:r>
        <w:t xml:space="preserve">[2] S. </w:t>
      </w:r>
      <w:r w:rsidRPr="00347992">
        <w:t>Guo</w:t>
      </w:r>
      <w:r>
        <w:t xml:space="preserve">, </w:t>
      </w:r>
      <w:r w:rsidRPr="00347992">
        <w:rPr>
          <w:i/>
          <w:iCs/>
        </w:rPr>
        <w:t>et al. Inorg. Chem. Front.</w:t>
      </w:r>
      <w:r w:rsidRPr="00347992">
        <w:t xml:space="preserve"> </w:t>
      </w:r>
      <w:r w:rsidRPr="00347992">
        <w:rPr>
          <w:b/>
        </w:rPr>
        <w:t>2022</w:t>
      </w:r>
      <w:r w:rsidRPr="00347992">
        <w:t>, 9, 2011–2015.</w:t>
      </w:r>
    </w:p>
    <w:p w14:paraId="1FE1CA1A" w14:textId="77777777" w:rsidR="00D8135B" w:rsidRPr="00347992" w:rsidRDefault="00D8135B" w:rsidP="00D8135B">
      <w:pPr>
        <w:pStyle w:val="Heading4"/>
      </w:pPr>
      <w:r>
        <w:t xml:space="preserve">[3] </w:t>
      </w:r>
      <w:r w:rsidRPr="00347992">
        <w:t xml:space="preserve">T. Stolar, K. Užarević, </w:t>
      </w:r>
      <w:r w:rsidRPr="00347992">
        <w:rPr>
          <w:i/>
          <w:iCs/>
        </w:rPr>
        <w:t>CrystEngComm</w:t>
      </w:r>
      <w:r w:rsidRPr="00347992">
        <w:t xml:space="preserve"> </w:t>
      </w:r>
      <w:r w:rsidRPr="00347992">
        <w:rPr>
          <w:b/>
        </w:rPr>
        <w:t>2020</w:t>
      </w:r>
      <w:r w:rsidRPr="00347992">
        <w:t xml:space="preserve">, </w:t>
      </w:r>
      <w:r w:rsidRPr="00347992">
        <w:rPr>
          <w:i/>
          <w:iCs/>
        </w:rPr>
        <w:t>22</w:t>
      </w:r>
      <w:r w:rsidRPr="00347992">
        <w:t xml:space="preserve">, 4511–4525. </w:t>
      </w:r>
    </w:p>
    <w:p w14:paraId="341319DE" w14:textId="77777777" w:rsidR="00D8135B" w:rsidRPr="00347992" w:rsidRDefault="00D8135B" w:rsidP="00D8135B">
      <w:pPr>
        <w:pStyle w:val="Heading4"/>
      </w:pPr>
      <w:r>
        <w:t xml:space="preserve">[4] </w:t>
      </w:r>
      <w:r w:rsidRPr="00347992">
        <w:t xml:space="preserve">P. J. Beldon, </w:t>
      </w:r>
      <w:r w:rsidRPr="00347992">
        <w:rPr>
          <w:i/>
          <w:iCs/>
        </w:rPr>
        <w:t>et al.</w:t>
      </w:r>
      <w:r w:rsidRPr="00347992">
        <w:t xml:space="preserve"> </w:t>
      </w:r>
      <w:r w:rsidRPr="00347992">
        <w:rPr>
          <w:i/>
          <w:iCs/>
        </w:rPr>
        <w:t>Angew. Chem. Int. Ed.</w:t>
      </w:r>
      <w:r w:rsidRPr="00347992">
        <w:t xml:space="preserve"> </w:t>
      </w:r>
      <w:r w:rsidRPr="00347992">
        <w:rPr>
          <w:b/>
        </w:rPr>
        <w:t>2010</w:t>
      </w:r>
      <w:r w:rsidRPr="00347992">
        <w:t xml:space="preserve">, </w:t>
      </w:r>
      <w:r w:rsidRPr="00347992">
        <w:rPr>
          <w:i/>
          <w:iCs/>
        </w:rPr>
        <w:t>49</w:t>
      </w:r>
      <w:r w:rsidRPr="00347992">
        <w:t>, 9640–9643</w:t>
      </w:r>
    </w:p>
    <w:p w14:paraId="2C745E90" w14:textId="5A7D4C92" w:rsidR="003D4B57" w:rsidRDefault="00D8135B" w:rsidP="00D8135B">
      <w:pPr>
        <w:pStyle w:val="Heading4"/>
      </w:pPr>
      <w:r>
        <w:t xml:space="preserve">[5] </w:t>
      </w:r>
      <w:r w:rsidRPr="00347992">
        <w:t xml:space="preserve">Z. Akimbekov, </w:t>
      </w:r>
      <w:r w:rsidRPr="00347992">
        <w:rPr>
          <w:i/>
          <w:iCs/>
        </w:rPr>
        <w:t>et al.</w:t>
      </w:r>
      <w:r w:rsidRPr="00347992">
        <w:t xml:space="preserve"> </w:t>
      </w:r>
      <w:r w:rsidRPr="00347992">
        <w:rPr>
          <w:i/>
          <w:iCs/>
        </w:rPr>
        <w:t>J. Am. Chem. Soc.</w:t>
      </w:r>
      <w:r w:rsidRPr="00347992">
        <w:t xml:space="preserve"> </w:t>
      </w:r>
      <w:r w:rsidRPr="00347992">
        <w:rPr>
          <w:b/>
        </w:rPr>
        <w:t>2017</w:t>
      </w:r>
      <w:r w:rsidRPr="00347992">
        <w:t xml:space="preserve">, </w:t>
      </w:r>
      <w:r w:rsidRPr="00347992">
        <w:rPr>
          <w:i/>
          <w:iCs/>
        </w:rPr>
        <w:t>139</w:t>
      </w:r>
      <w:r w:rsidRPr="00347992">
        <w:t>, 7952–7957.</w:t>
      </w:r>
      <w:r w:rsidR="00000000">
        <w:t xml:space="preserve"> </w:t>
      </w:r>
    </w:p>
    <w:sectPr w:rsidR="003D4B5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29E9" w14:textId="77777777" w:rsidR="001E23D5" w:rsidRDefault="001E23D5">
      <w:pPr>
        <w:spacing w:after="0"/>
      </w:pPr>
      <w:r>
        <w:separator/>
      </w:r>
    </w:p>
  </w:endnote>
  <w:endnote w:type="continuationSeparator" w:id="0">
    <w:p w14:paraId="49F38209" w14:textId="77777777" w:rsidR="001E23D5" w:rsidRDefault="001E23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6126" w14:textId="77777777" w:rsidR="003D4B57" w:rsidRDefault="00000000">
    <w:pPr>
      <w:pStyle w:val="Footer"/>
    </w:pPr>
    <w:r>
      <w:t>Acta Cryst. (2025). A81, e1</w:t>
    </w:r>
  </w:p>
  <w:p w14:paraId="25C4C75F" w14:textId="77777777" w:rsidR="003D4B57" w:rsidRDefault="003D4B5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9611" w14:textId="77777777" w:rsidR="001E23D5" w:rsidRDefault="001E23D5">
      <w:pPr>
        <w:spacing w:after="0"/>
      </w:pPr>
      <w:r>
        <w:separator/>
      </w:r>
    </w:p>
  </w:footnote>
  <w:footnote w:type="continuationSeparator" w:id="0">
    <w:p w14:paraId="67662745" w14:textId="77777777" w:rsidR="001E23D5" w:rsidRDefault="001E23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3CF4" w14:textId="77777777" w:rsidR="003D4B57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B57"/>
    <w:rsid w:val="001563E2"/>
    <w:rsid w:val="001945D2"/>
    <w:rsid w:val="001E23D5"/>
    <w:rsid w:val="003D4B57"/>
    <w:rsid w:val="007A1BD9"/>
    <w:rsid w:val="00C134F6"/>
    <w:rsid w:val="00D8135B"/>
    <w:rsid w:val="00E41A34"/>
    <w:rsid w:val="00E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229"/>
  <w15:docId w15:val="{617EA233-13E3-4DB7-BB8F-4B583DD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400</Words>
  <Characters>2283</Characters>
  <Application>Microsoft Office Word</Application>
  <DocSecurity>0</DocSecurity>
  <Lines>19</Lines>
  <Paragraphs>5</Paragraphs>
  <ScaleCrop>false</ScaleCrop>
  <Company>MFF UK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Ivana Brekalo</cp:lastModifiedBy>
  <cp:revision>7</cp:revision>
  <dcterms:created xsi:type="dcterms:W3CDTF">2025-05-09T16:07:00Z</dcterms:created>
  <dcterms:modified xsi:type="dcterms:W3CDTF">2025-05-09T16:50:00Z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