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2C1" w:rsidRPr="002902C1" w:rsidRDefault="00BE1C67" w:rsidP="002902C1">
      <w:pPr>
        <w:shd w:val="clear" w:color="auto" w:fill="FFFFFF"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n-GB"/>
        </w:rPr>
      </w:pPr>
      <w:r w:rsidRPr="00BE1C67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n-GB"/>
        </w:rPr>
        <w:t xml:space="preserve">Using phase diagrams </w:t>
      </w:r>
      <w:r w:rsidR="006547BB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n-GB"/>
        </w:rPr>
        <w:t xml:space="preserve">with </w:t>
      </w:r>
      <w:proofErr w:type="spellStart"/>
      <w:r w:rsidRPr="00BE1C67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n-GB"/>
        </w:rPr>
        <w:t>microseeding</w:t>
      </w:r>
      <w:proofErr w:type="spellEnd"/>
      <w:r w:rsidRPr="00BE1C67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n-GB"/>
        </w:rPr>
        <w:t xml:space="preserve"> to prepare crystal samples for advanced data collection techniques</w:t>
      </w:r>
    </w:p>
    <w:p w:rsidR="002902C1" w:rsidRPr="002902C1" w:rsidRDefault="002902C1" w:rsidP="002902C1">
      <w:pPr>
        <w:shd w:val="clear" w:color="auto" w:fill="FFFFFF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2902C1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P. D. Shaw Stewart</w:t>
      </w:r>
      <w:r w:rsidRPr="002902C1">
        <w:rPr>
          <w:rFonts w:ascii="Arial" w:eastAsia="Times New Roman" w:hAnsi="Arial" w:cs="Arial"/>
          <w:b/>
          <w:bCs/>
          <w:color w:val="222222"/>
          <w:sz w:val="20"/>
          <w:szCs w:val="20"/>
          <w:vertAlign w:val="superscript"/>
          <w:lang w:eastAsia="en-GB"/>
        </w:rPr>
        <w:t>1</w:t>
      </w:r>
      <w:r w:rsidRPr="002902C1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, S. A. Kolek</w:t>
      </w:r>
      <w:r w:rsidRPr="002902C1">
        <w:rPr>
          <w:rFonts w:ascii="Arial" w:eastAsia="Times New Roman" w:hAnsi="Arial" w:cs="Arial"/>
          <w:b/>
          <w:bCs/>
          <w:color w:val="222222"/>
          <w:sz w:val="20"/>
          <w:szCs w:val="20"/>
          <w:vertAlign w:val="superscript"/>
          <w:lang w:eastAsia="en-GB"/>
        </w:rPr>
        <w:t>1</w:t>
      </w:r>
      <w:r w:rsidRPr="002902C1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, J. Stubbs</w:t>
      </w:r>
      <w:r w:rsidRPr="002902C1">
        <w:rPr>
          <w:rFonts w:ascii="Arial" w:eastAsia="Times New Roman" w:hAnsi="Arial" w:cs="Arial"/>
          <w:b/>
          <w:bCs/>
          <w:color w:val="222222"/>
          <w:sz w:val="20"/>
          <w:szCs w:val="20"/>
          <w:vertAlign w:val="superscript"/>
          <w:lang w:eastAsia="en-GB"/>
        </w:rPr>
        <w:t>2</w:t>
      </w:r>
      <w:r w:rsidRPr="002902C1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, P. F. M. Baldock</w:t>
      </w:r>
      <w:r w:rsidRPr="002902C1">
        <w:rPr>
          <w:rFonts w:ascii="Arial" w:eastAsia="Times New Roman" w:hAnsi="Arial" w:cs="Arial"/>
          <w:b/>
          <w:bCs/>
          <w:color w:val="222222"/>
          <w:sz w:val="20"/>
          <w:szCs w:val="20"/>
          <w:vertAlign w:val="superscript"/>
          <w:lang w:eastAsia="en-GB"/>
        </w:rPr>
        <w:t>1</w:t>
      </w:r>
    </w:p>
    <w:p w:rsidR="002902C1" w:rsidRPr="002902C1" w:rsidRDefault="002902C1" w:rsidP="002902C1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en-GB"/>
        </w:rPr>
      </w:pPr>
      <w:r w:rsidRPr="002902C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vertAlign w:val="superscript"/>
          <w:lang w:eastAsia="en-GB"/>
        </w:rPr>
        <w:t>1</w:t>
      </w:r>
      <w:r w:rsidRPr="002902C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en-GB"/>
        </w:rPr>
        <w:t>Douglas Instruments Ltd, East Garston, Hungerford RG17 7HD, United Kingdom, </w:t>
      </w:r>
      <w:r w:rsidRPr="002902C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vertAlign w:val="superscript"/>
          <w:lang w:eastAsia="en-GB"/>
        </w:rPr>
        <w:t>2</w:t>
      </w:r>
      <w:r w:rsidRPr="002902C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en-GB"/>
        </w:rPr>
        <w:t>School of Biological Sciences, University of Southampton, Southampton SO17 1BJ, United Kingdom</w:t>
      </w:r>
    </w:p>
    <w:p w:rsidR="00C72F8F" w:rsidRDefault="002902C1" w:rsidP="006038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2902C1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Serial data collection and </w:t>
      </w:r>
      <w:proofErr w:type="spellStart"/>
      <w:r w:rsidRPr="002902C1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microED</w:t>
      </w:r>
      <w:proofErr w:type="spellEnd"/>
      <w:r w:rsidRPr="002902C1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techniques</w:t>
      </w:r>
      <w:r w:rsidR="00603809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typically</w:t>
      </w:r>
      <w:r w:rsidRPr="002902C1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require “slurries” of tiny, well-ordered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</w:t>
      </w:r>
      <w:r w:rsidRPr="002902C1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crystals</w:t>
      </w:r>
      <w:r w:rsidR="000B35F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[1]</w:t>
      </w:r>
      <w:r w:rsidRPr="002902C1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.</w:t>
      </w:r>
      <w:r w:rsidR="004610C8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 </w:t>
      </w:r>
      <w:r w:rsidR="006A080F" w:rsidRPr="002902C1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Neutron diffraction requires very large single crystals.  </w:t>
      </w:r>
      <w:r w:rsidR="003C6F35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Making samples for these techniques often requir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es</w:t>
      </w:r>
      <w:r w:rsidR="003C6F35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many rounds of optimization</w:t>
      </w:r>
      <w:r w:rsidR="00E90A7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and larger volumes.  </w:t>
      </w:r>
      <w:r w:rsidR="006A080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To guide them</w:t>
      </w:r>
      <w:r w:rsidR="00717EDA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in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making samples</w:t>
      </w:r>
      <w:r w:rsidR="006A080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, p</w:t>
      </w:r>
      <w:r w:rsidR="003C6F35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rotein crystallizers often</w:t>
      </w:r>
      <w:r w:rsidR="00B66098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</w:t>
      </w:r>
      <w:r w:rsidR="00603809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keep </w:t>
      </w:r>
      <w:r w:rsidR="003C6F35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a notional phase diagram </w:t>
      </w:r>
      <w:r w:rsidR="00B66098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in mind</w:t>
      </w:r>
      <w:r w:rsidR="004610C8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that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</w:t>
      </w:r>
      <w:r w:rsidR="003C6F35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has four zones: </w:t>
      </w:r>
      <w:r w:rsidR="003C6F35" w:rsidRPr="003C6F35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an undersaturated zone</w:t>
      </w:r>
      <w:r w:rsidR="003C6F35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where protein always remains in solution</w:t>
      </w:r>
      <w:r w:rsidR="003C6F35" w:rsidRPr="003C6F35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, a metastable zone </w:t>
      </w:r>
      <w:r w:rsidR="003C6F35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where </w:t>
      </w:r>
      <w:r w:rsidR="003C6F35" w:rsidRPr="003C6F35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crystals </w:t>
      </w:r>
      <w:r w:rsidR="003C6F35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will </w:t>
      </w:r>
      <w:r w:rsidR="003C6F35" w:rsidRPr="003C6F35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grow when seeds are added, a crystal nucleation zone </w:t>
      </w:r>
      <w:r w:rsidR="00B66098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where </w:t>
      </w:r>
      <w:r w:rsidR="003C6F35" w:rsidRPr="003C6F35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crystals appear spontaneously, and a protein precipitation zone.</w:t>
      </w:r>
      <w:r w:rsidR="006A080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 However, the shape of real-life phase diagrams can vary</w:t>
      </w:r>
      <w:r w:rsidR="00603809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, </w:t>
      </w:r>
      <w:r w:rsidR="00FF504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and it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is</w:t>
      </w:r>
      <w:r w:rsidR="00FF504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</w:t>
      </w:r>
      <w:r w:rsidR="002C7F01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very helpful to </w:t>
      </w:r>
      <w:r w:rsidR="0058645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determine the phase diagrams of</w:t>
      </w:r>
      <w:r w:rsidR="00FF504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</w:t>
      </w:r>
      <w:r w:rsidR="0058645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target protein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s</w:t>
      </w:r>
      <w:r w:rsidR="0058645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experimentally</w:t>
      </w:r>
      <w:r w:rsidR="00696D66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.  </w:t>
      </w:r>
      <w:r w:rsidR="00430ABB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I</w:t>
      </w:r>
      <w:r w:rsidR="00586457" w:rsidRPr="0058645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n collaboration with the University of Southampton, </w:t>
      </w:r>
      <w:r w:rsidR="00430ABB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Douglas Instruments </w:t>
      </w:r>
      <w:r w:rsidR="00586457" w:rsidRPr="0058645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has</w:t>
      </w:r>
      <w:r w:rsidR="0005740A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introduced</w:t>
      </w:r>
      <w:r w:rsidR="00586457" w:rsidRPr="0058645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a </w:t>
      </w:r>
      <w:r w:rsidR="00C72F8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new workflow comprising the 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following </w:t>
      </w:r>
      <w:r w:rsidR="00C72F8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steps: </w:t>
      </w:r>
    </w:p>
    <w:p w:rsidR="00430ABB" w:rsidRDefault="00E90A7F" w:rsidP="00C72F8F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Set up a phase diagram by d</w:t>
      </w:r>
      <w:r w:rsidR="00430ABB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ispens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ing</w:t>
      </w:r>
      <w:r w:rsidR="00430ABB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drops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that </w:t>
      </w:r>
      <w:r w:rsidR="00430ABB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cover the whole interesting region of 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the </w:t>
      </w:r>
      <w:r w:rsidR="00430ABB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phase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diagram</w:t>
      </w:r>
      <w:r w:rsidR="00430ABB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, without seed crystals.  This allows the upper and lower boundaries of the crystal nucleation zone to be determined (</w:t>
      </w:r>
      <w:r w:rsidR="001E0270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indicated by the r</w:t>
      </w:r>
      <w:bookmarkStart w:id="0" w:name="_GoBack"/>
      <w:bookmarkEnd w:id="0"/>
      <w:r w:rsidR="00430ABB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ed lines below).</w:t>
      </w:r>
    </w:p>
    <w:p w:rsidR="00430ABB" w:rsidRDefault="00430ABB" w:rsidP="00C72F8F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Repeat, this time adding a suspension of crushed seed crystals</w:t>
      </w:r>
      <w:r w:rsidR="0038758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</w:t>
      </w:r>
      <w:r w:rsidR="000B35F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[2] </w:t>
      </w:r>
      <w:r w:rsidR="0038758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to determine the lower boundary of the metastable zone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(blue line).</w:t>
      </w:r>
    </w:p>
    <w:p w:rsidR="00430ABB" w:rsidRDefault="0038758F" w:rsidP="00C72F8F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Choose one or more conditions from the phase diagram and dispense a seed stock dilution series to 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determine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the 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most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appropriate dilution of seeds.</w:t>
      </w:r>
    </w:p>
    <w:p w:rsidR="00C72F8F" w:rsidRDefault="0038758F" w:rsidP="00C72F8F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Set up 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another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p</w:t>
      </w:r>
      <w:r w:rsidR="00C72F8F" w:rsidRPr="00C72F8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hase diagram</w:t>
      </w:r>
      <w:r w:rsidR="001E0270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,</w:t>
      </w:r>
      <w:r w:rsidR="00C72F8F" w:rsidRPr="00C72F8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this time </w:t>
      </w:r>
      <w:r w:rsidR="00C72F8F" w:rsidRPr="00C72F8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zoom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ing</w:t>
      </w:r>
      <w:r w:rsidR="00C72F8F" w:rsidRPr="00C72F8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in on the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most promising conditions</w:t>
      </w:r>
      <w:r w:rsidR="00C72F8F" w:rsidRPr="00C72F8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, 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and </w:t>
      </w:r>
      <w:r w:rsidR="00C72F8F" w:rsidRPr="00C72F8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using diluted seed stock</w:t>
      </w:r>
      <w:r w:rsidR="00E90A7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.</w:t>
      </w:r>
    </w:p>
    <w:p w:rsidR="00E90A7F" w:rsidRDefault="00E90A7F" w:rsidP="00C72F8F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Scale up from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microbatch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to batch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eg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100 </w:t>
      </w:r>
      <w:r w:rsidRPr="0058645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µL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) as required.  </w:t>
      </w:r>
    </w:p>
    <w:p w:rsidR="0005740A" w:rsidRDefault="00E90A7F" w:rsidP="006038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Each experiment above requires only three ingredients: protein, a crystallization cocktail</w:t>
      </w:r>
      <w:r w:rsidR="001E0270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(which might contain seeds)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, and a diluent.  Experiments can be performed either in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microbatch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, which is faster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and </w:t>
      </w:r>
      <w:r w:rsidR="001E0270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easier</w:t>
      </w:r>
      <w:r w:rsidR="001E6BF7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to scale up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, or in</w:t>
      </w:r>
      <w:r w:rsidR="000B35F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“balanced” vapor diffusion </w:t>
      </w:r>
      <w:r w:rsidR="000B35FF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setup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wh</w:t>
      </w:r>
      <w:r w:rsidR="00696D66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ere the reservoir solution exactly matches the concentration of the drop (apart from the protein).  </w:t>
      </w:r>
      <w:r w:rsidR="00C87574" w:rsidRPr="002902C1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We present case studies </w:t>
      </w:r>
      <w:r w:rsidR="001E0270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in which phase diagrams were used to enhance control and crystal quality for both </w:t>
      </w:r>
      <w:r w:rsidR="00C87574" w:rsidRPr="002902C1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routine and advanced data collection</w:t>
      </w:r>
      <w:r w:rsidR="00C87574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.</w:t>
      </w:r>
    </w:p>
    <w:p w:rsidR="001E6BF7" w:rsidRDefault="001E6BF7" w:rsidP="006038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:rsidR="00C87574" w:rsidRDefault="000B35FF" w:rsidP="002902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EF0D7E">
        <w:rPr>
          <w:rFonts w:ascii="Times New Roman" w:eastAsia="Times New Roman" w:hAnsi="Times New Roman" w:cs="Times New Roman"/>
          <w:noProof/>
          <w:color w:val="222222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25FDDE6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029200" cy="22631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35FF" w:rsidRDefault="000B35FF" w:rsidP="000B35FF">
      <w:pPr>
        <w:shd w:val="clear" w:color="auto" w:fill="FFFFFF"/>
        <w:spacing w:after="120" w:line="240" w:lineRule="auto"/>
        <w:ind w:left="567"/>
        <w:jc w:val="both"/>
        <w:outlineLvl w:val="3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</w:p>
    <w:p w:rsidR="000B35FF" w:rsidRDefault="000B35FF" w:rsidP="000B35FF">
      <w:pPr>
        <w:shd w:val="clear" w:color="auto" w:fill="FFFFFF"/>
        <w:spacing w:after="120" w:line="240" w:lineRule="auto"/>
        <w:ind w:left="567"/>
        <w:jc w:val="both"/>
        <w:outlineLvl w:val="3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</w:p>
    <w:p w:rsidR="000B35FF" w:rsidRDefault="000B35FF" w:rsidP="000B35FF">
      <w:pPr>
        <w:shd w:val="clear" w:color="auto" w:fill="FFFFFF"/>
        <w:spacing w:after="120" w:line="240" w:lineRule="auto"/>
        <w:ind w:left="567"/>
        <w:jc w:val="both"/>
        <w:outlineLvl w:val="3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</w:p>
    <w:p w:rsidR="000B35FF" w:rsidRDefault="000B35FF" w:rsidP="000B35FF">
      <w:pPr>
        <w:shd w:val="clear" w:color="auto" w:fill="FFFFFF"/>
        <w:spacing w:after="120" w:line="240" w:lineRule="auto"/>
        <w:ind w:left="567"/>
        <w:jc w:val="both"/>
        <w:outlineLvl w:val="3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</w:p>
    <w:p w:rsidR="000B35FF" w:rsidRDefault="000B35FF" w:rsidP="000B35FF">
      <w:pPr>
        <w:shd w:val="clear" w:color="auto" w:fill="FFFFFF"/>
        <w:spacing w:after="120" w:line="240" w:lineRule="auto"/>
        <w:ind w:left="567"/>
        <w:jc w:val="both"/>
        <w:outlineLvl w:val="3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</w:p>
    <w:p w:rsidR="000B35FF" w:rsidRDefault="000B35FF" w:rsidP="000B35FF">
      <w:pPr>
        <w:shd w:val="clear" w:color="auto" w:fill="FFFFFF"/>
        <w:spacing w:after="120" w:line="240" w:lineRule="auto"/>
        <w:ind w:left="567"/>
        <w:jc w:val="both"/>
        <w:outlineLvl w:val="3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</w:p>
    <w:p w:rsidR="000B35FF" w:rsidRDefault="000B35FF" w:rsidP="000B35FF">
      <w:pPr>
        <w:shd w:val="clear" w:color="auto" w:fill="FFFFFF"/>
        <w:spacing w:after="120" w:line="240" w:lineRule="auto"/>
        <w:ind w:left="567"/>
        <w:jc w:val="both"/>
        <w:outlineLvl w:val="3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</w:p>
    <w:p w:rsidR="000B35FF" w:rsidRDefault="000B35FF" w:rsidP="000B35FF">
      <w:pPr>
        <w:shd w:val="clear" w:color="auto" w:fill="FFFFFF"/>
        <w:spacing w:after="120" w:line="240" w:lineRule="auto"/>
        <w:ind w:left="567"/>
        <w:jc w:val="both"/>
        <w:outlineLvl w:val="3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</w:p>
    <w:p w:rsidR="000B35FF" w:rsidRDefault="000B35FF" w:rsidP="000B35FF">
      <w:pPr>
        <w:shd w:val="clear" w:color="auto" w:fill="FFFFFF"/>
        <w:spacing w:after="120" w:line="240" w:lineRule="auto"/>
        <w:ind w:left="567"/>
        <w:jc w:val="both"/>
        <w:outlineLvl w:val="3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</w:p>
    <w:p w:rsidR="000B35FF" w:rsidRDefault="000B35FF" w:rsidP="000B35FF">
      <w:pPr>
        <w:shd w:val="clear" w:color="auto" w:fill="FFFFFF"/>
        <w:spacing w:after="120" w:line="240" w:lineRule="auto"/>
        <w:ind w:left="567"/>
        <w:jc w:val="both"/>
        <w:outlineLvl w:val="3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</w:p>
    <w:p w:rsidR="000B35FF" w:rsidRDefault="000B35FF" w:rsidP="000B35FF">
      <w:pPr>
        <w:shd w:val="clear" w:color="auto" w:fill="FFFFFF"/>
        <w:spacing w:after="120" w:line="240" w:lineRule="auto"/>
        <w:ind w:left="567"/>
        <w:jc w:val="both"/>
        <w:outlineLvl w:val="3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</w:p>
    <w:p w:rsidR="000B35FF" w:rsidRPr="002902C1" w:rsidRDefault="000B35FF" w:rsidP="000B35FF">
      <w:pPr>
        <w:shd w:val="clear" w:color="auto" w:fill="FFFFFF"/>
        <w:spacing w:after="120" w:line="240" w:lineRule="auto"/>
        <w:ind w:left="567"/>
        <w:jc w:val="both"/>
        <w:outlineLvl w:val="3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  <w:r w:rsidRPr="002902C1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[1] Stubbs, J., Hornsey, T., Hanrahan, L.B. Esteban, R. Bolton, M. </w:t>
      </w:r>
      <w:proofErr w:type="spellStart"/>
      <w:r w:rsidRPr="002902C1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Maly</w:t>
      </w:r>
      <w:proofErr w:type="spellEnd"/>
      <w:r w:rsidRPr="002902C1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, S. </w:t>
      </w:r>
      <w:proofErr w:type="spellStart"/>
      <w:r w:rsidRPr="002902C1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Basu</w:t>
      </w:r>
      <w:proofErr w:type="spellEnd"/>
      <w:r w:rsidRPr="002902C1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, J. </w:t>
      </w:r>
      <w:proofErr w:type="spellStart"/>
      <w:r w:rsidRPr="002902C1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Orlans</w:t>
      </w:r>
      <w:proofErr w:type="spellEnd"/>
      <w:r w:rsidRPr="002902C1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, D. de </w:t>
      </w:r>
      <w:proofErr w:type="spellStart"/>
      <w:r w:rsidRPr="002902C1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Sanctis</w:t>
      </w:r>
      <w:proofErr w:type="spellEnd"/>
      <w:r w:rsidRPr="002902C1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, J. Shim, Shaw Stewart, P. D., A.M. Orville, I. </w:t>
      </w:r>
      <w:proofErr w:type="spellStart"/>
      <w:r w:rsidRPr="002902C1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Tews</w:t>
      </w:r>
      <w:proofErr w:type="spellEnd"/>
      <w:r w:rsidRPr="002902C1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and West, J. (2024). </w:t>
      </w:r>
      <w:proofErr w:type="spellStart"/>
      <w:r w:rsidRPr="002902C1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en-GB"/>
        </w:rPr>
        <w:t>IUCrJ</w:t>
      </w:r>
      <w:proofErr w:type="spellEnd"/>
      <w:r w:rsidRPr="002902C1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  </w:t>
      </w:r>
      <w:r w:rsidRPr="002902C1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11.</w:t>
      </w:r>
    </w:p>
    <w:p w:rsidR="000B35FF" w:rsidRPr="002902C1" w:rsidRDefault="000B35FF" w:rsidP="000B35FF">
      <w:pPr>
        <w:shd w:val="clear" w:color="auto" w:fill="FFFFFF"/>
        <w:spacing w:after="120" w:line="240" w:lineRule="auto"/>
        <w:ind w:left="567"/>
        <w:jc w:val="both"/>
        <w:outlineLvl w:val="3"/>
        <w:rPr>
          <w:rFonts w:ascii="Arial" w:hAnsi="Arial" w:cs="Arial"/>
        </w:rPr>
      </w:pPr>
      <w:r w:rsidRPr="002902C1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[2] D'Arcy, A., Villard, F., Marsh, M.  (2007). </w:t>
      </w:r>
      <w:r w:rsidRPr="002902C1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en-GB"/>
        </w:rPr>
        <w:t xml:space="preserve">Acta </w:t>
      </w:r>
      <w:proofErr w:type="spellStart"/>
      <w:r w:rsidRPr="002902C1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en-GB"/>
        </w:rPr>
        <w:t>Cryst</w:t>
      </w:r>
      <w:proofErr w:type="spellEnd"/>
      <w:r w:rsidRPr="002902C1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en-GB"/>
        </w:rPr>
        <w:t>.</w:t>
      </w:r>
      <w:r w:rsidRPr="002902C1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 </w:t>
      </w:r>
      <w:r w:rsidRPr="002902C1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en-GB"/>
        </w:rPr>
        <w:t>D63</w:t>
      </w:r>
      <w:r w:rsidRPr="002902C1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(4):550-4.</w:t>
      </w:r>
    </w:p>
    <w:p w:rsidR="000B35FF" w:rsidRDefault="000B35FF" w:rsidP="002902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sectPr w:rsidR="000B35FF" w:rsidSect="0005740A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C443A"/>
    <w:multiLevelType w:val="hybridMultilevel"/>
    <w:tmpl w:val="52562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96EF9"/>
    <w:multiLevelType w:val="hybridMultilevel"/>
    <w:tmpl w:val="092A0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0235"/>
    <w:multiLevelType w:val="multilevel"/>
    <w:tmpl w:val="9842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2C1"/>
    <w:rsid w:val="0005740A"/>
    <w:rsid w:val="000B35FF"/>
    <w:rsid w:val="001C26D6"/>
    <w:rsid w:val="001E0270"/>
    <w:rsid w:val="001E6BF7"/>
    <w:rsid w:val="002902C1"/>
    <w:rsid w:val="002C7F01"/>
    <w:rsid w:val="0038758F"/>
    <w:rsid w:val="003C4F48"/>
    <w:rsid w:val="003C6F35"/>
    <w:rsid w:val="00430ABB"/>
    <w:rsid w:val="004610C8"/>
    <w:rsid w:val="004C2DB7"/>
    <w:rsid w:val="00586457"/>
    <w:rsid w:val="00603809"/>
    <w:rsid w:val="006547BB"/>
    <w:rsid w:val="00696D66"/>
    <w:rsid w:val="006A080F"/>
    <w:rsid w:val="00717EDA"/>
    <w:rsid w:val="007B06CB"/>
    <w:rsid w:val="00810491"/>
    <w:rsid w:val="00B66098"/>
    <w:rsid w:val="00BE1C67"/>
    <w:rsid w:val="00C72F8F"/>
    <w:rsid w:val="00C87574"/>
    <w:rsid w:val="00DA5C96"/>
    <w:rsid w:val="00E90A7F"/>
    <w:rsid w:val="00EF0D7E"/>
    <w:rsid w:val="00F055E4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047DA"/>
  <w15:chartTrackingRefBased/>
  <w15:docId w15:val="{60648447-017F-4EF9-9D03-D8110E69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0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90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90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2902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2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902C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02C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902C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902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9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427</Words>
  <Characters>2329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Wilson</dc:creator>
  <cp:keywords/>
  <dc:description/>
  <cp:lastModifiedBy>Patrick Shaw Stewart</cp:lastModifiedBy>
  <cp:revision>4</cp:revision>
  <cp:lastPrinted>2025-05-09T11:49:00Z</cp:lastPrinted>
  <dcterms:created xsi:type="dcterms:W3CDTF">2025-05-09T12:21:00Z</dcterms:created>
  <dcterms:modified xsi:type="dcterms:W3CDTF">2025-05-09T18:21:00Z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3df1e3ff-6c78-4b17-9ea3-546230107ed0</vt:lpwstr>
  </property>
</Properties>
</file>