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2E0C4" w14:textId="77777777" w:rsidR="003B0EA1" w:rsidRPr="00FE6020" w:rsidRDefault="00BE271D">
      <w:pPr>
        <w:pStyle w:val="Heading2"/>
        <w:rPr>
          <w:sz w:val="24"/>
          <w:szCs w:val="24"/>
        </w:rPr>
      </w:pPr>
      <w:r w:rsidRPr="00FE6020">
        <w:rPr>
          <w:iCs w:val="0"/>
          <w:sz w:val="24"/>
          <w:szCs w:val="24"/>
        </w:rPr>
        <w:t>Convergence Study of a Gradient-Descent Algorithm for Bloch Amplitude Refinement Under the Kinematical Approximation</w:t>
      </w:r>
      <w:r w:rsidRPr="00FE6020">
        <w:rPr>
          <w:sz w:val="24"/>
          <w:szCs w:val="24"/>
        </w:rPr>
        <w:t xml:space="preserve"> </w:t>
      </w:r>
    </w:p>
    <w:p w14:paraId="0290168D" w14:textId="2CD55769" w:rsidR="00BC4249" w:rsidRPr="00ED039D" w:rsidRDefault="007C2763" w:rsidP="00114BDE">
      <w:pPr>
        <w:pStyle w:val="Heading2"/>
        <w:rPr>
          <w:szCs w:val="20"/>
        </w:rPr>
      </w:pPr>
      <w:r w:rsidRPr="00ED039D">
        <w:rPr>
          <w:szCs w:val="20"/>
        </w:rPr>
        <w:t xml:space="preserve">A. </w:t>
      </w:r>
      <w:r w:rsidR="00000000" w:rsidRPr="00ED039D">
        <w:rPr>
          <w:szCs w:val="20"/>
        </w:rPr>
        <w:t>Chatziagapiou</w:t>
      </w:r>
      <w:r w:rsidR="00000000" w:rsidRPr="00ED039D">
        <w:rPr>
          <w:szCs w:val="20"/>
          <w:vertAlign w:val="superscript"/>
        </w:rPr>
        <w:t>1,2</w:t>
      </w:r>
      <w:r w:rsidR="00000000" w:rsidRPr="00ED039D">
        <w:rPr>
          <w:szCs w:val="20"/>
        </w:rPr>
        <w:t xml:space="preserve"> </w:t>
      </w:r>
      <w:r w:rsidR="00F35850" w:rsidRPr="00ED039D">
        <w:rPr>
          <w:szCs w:val="20"/>
        </w:rPr>
        <w:t xml:space="preserve">and </w:t>
      </w:r>
      <w:r w:rsidR="00F35850" w:rsidRPr="00ED039D">
        <w:rPr>
          <w:szCs w:val="20"/>
        </w:rPr>
        <w:t>K. Bethanis</w:t>
      </w:r>
      <w:r w:rsidR="00F35850" w:rsidRPr="00ED039D">
        <w:rPr>
          <w:szCs w:val="20"/>
          <w:vertAlign w:val="superscript"/>
        </w:rPr>
        <w:t>1</w:t>
      </w:r>
    </w:p>
    <w:p w14:paraId="0290168F" w14:textId="13F47661" w:rsidR="00BC4249" w:rsidRDefault="00000000" w:rsidP="00A74110">
      <w:pPr>
        <w:pStyle w:val="Heading3"/>
        <w:jc w:val="both"/>
      </w:pPr>
      <w:r>
        <w:rPr>
          <w:vertAlign w:val="superscript"/>
        </w:rPr>
        <w:t>1</w:t>
      </w:r>
      <w:r>
        <w:t xml:space="preserve">Physics Laboratory, </w:t>
      </w:r>
      <w:r w:rsidR="005C189A">
        <w:t xml:space="preserve">Biotechnology </w:t>
      </w:r>
      <w:r>
        <w:t>Department, Agricultural University of Athens, 75 Iera Odos</w:t>
      </w:r>
      <w:r w:rsidR="00A74110">
        <w:t xml:space="preserve">, </w:t>
      </w:r>
      <w:r>
        <w:rPr>
          <w:vertAlign w:val="superscript"/>
        </w:rPr>
        <w:t>2</w:t>
      </w:r>
      <w:r>
        <w:t>Department of Mathematics, Aegean College,</w:t>
      </w:r>
      <w:r w:rsidR="00480A7E">
        <w:t xml:space="preserve"> </w:t>
      </w:r>
      <w:r>
        <w:t xml:space="preserve">Athens, </w:t>
      </w:r>
      <w:r w:rsidR="00BF3E04">
        <w:t xml:space="preserve">17 </w:t>
      </w:r>
      <w:proofErr w:type="spellStart"/>
      <w:r>
        <w:t>Panepistimiou</w:t>
      </w:r>
      <w:proofErr w:type="spellEnd"/>
      <w:r>
        <w:t xml:space="preserve"> Str</w:t>
      </w:r>
      <w:r w:rsidR="00BF3E04">
        <w:t>.</w:t>
      </w:r>
      <w:r>
        <w:t xml:space="preserve"> </w:t>
      </w:r>
    </w:p>
    <w:p w14:paraId="02901690" w14:textId="77777777" w:rsidR="00BC4249" w:rsidRDefault="00000000" w:rsidP="00175AE0">
      <w:pPr>
        <w:pStyle w:val="Heading3"/>
      </w:pPr>
      <w:hyperlink r:id="rId8">
        <w:r>
          <w:rPr>
            <w:rStyle w:val="Hyperlink"/>
          </w:rPr>
          <w:t>kbeth@aua.gr</w:t>
        </w:r>
      </w:hyperlink>
    </w:p>
    <w:p w14:paraId="6E88C26A" w14:textId="78551310" w:rsidR="002E5E4C" w:rsidRDefault="00326FAE" w:rsidP="00986D01">
      <w:r w:rsidRPr="00326FAE">
        <w:t xml:space="preserve">A novel algorithm, grounded in physical principles within the </w:t>
      </w:r>
      <w:proofErr w:type="gramStart"/>
      <w:r w:rsidRPr="00326FAE">
        <w:t>first-order</w:t>
      </w:r>
      <w:proofErr w:type="gramEnd"/>
      <w:r w:rsidRPr="00326FAE">
        <w:t xml:space="preserve"> Born approximation, is proposed as an initial step toward an </w:t>
      </w:r>
      <w:r w:rsidRPr="00885148">
        <w:rPr>
          <w:i/>
          <w:iCs/>
        </w:rPr>
        <w:t>ab initio</w:t>
      </w:r>
      <w:r w:rsidRPr="00326FAE">
        <w:t xml:space="preserve"> solution for crystal structure determination using three-dimensional electron diffraction (3D-ED).</w:t>
      </w:r>
      <w:r w:rsidR="00986D01">
        <w:t xml:space="preserve"> </w:t>
      </w:r>
      <w:r w:rsidR="002E5E4C">
        <w:t>The method aims to iteratively solve the phase problem formulated through the Schrödinger equation in reciprocal space</w:t>
      </w:r>
      <w:r w:rsidR="000B2027">
        <w:t xml:space="preserve"> [1, 2]</w:t>
      </w:r>
      <w:r w:rsidR="002E5E4C">
        <w:t>, updating the complex Bloch amplitudes</w:t>
      </w:r>
      <w:r w:rsidR="00703249">
        <w:t xml:space="preserve"> - </w:t>
      </w:r>
      <w:r w:rsidR="002E5E4C">
        <w:t>which encode experimental information in space group P1</w:t>
      </w:r>
      <w:r w:rsidR="00986D01">
        <w:t xml:space="preserve"> </w:t>
      </w:r>
      <w:r w:rsidR="00703249">
        <w:t>-</w:t>
      </w:r>
      <w:r w:rsidR="00986D01">
        <w:t xml:space="preserve"> </w:t>
      </w:r>
      <w:r w:rsidR="002E5E4C">
        <w:t xml:space="preserve">via </w:t>
      </w:r>
      <w:r w:rsidR="002E5E4C" w:rsidRPr="00703249">
        <w:rPr>
          <w:i/>
          <w:iCs/>
        </w:rPr>
        <w:t>C</w:t>
      </w:r>
      <w:r w:rsidR="002E5E4C" w:rsidRPr="00BB3FBD">
        <w:rPr>
          <w:b/>
          <w:bCs/>
          <w:i/>
          <w:iCs/>
          <w:vertAlign w:val="subscript"/>
        </w:rPr>
        <w:t>g</w:t>
      </w:r>
      <w:r w:rsidR="00703249">
        <w:rPr>
          <w:b/>
          <w:bCs/>
          <w:vertAlign w:val="subscript"/>
        </w:rPr>
        <w:t xml:space="preserve"> </w:t>
      </w:r>
      <w:r w:rsidR="002E5E4C">
        <w:t>= (1/</w:t>
      </w:r>
      <w:r w:rsidR="002E5E4C" w:rsidRPr="00703249">
        <w:rPr>
          <w:i/>
          <w:iCs/>
        </w:rPr>
        <w:t>g</w:t>
      </w:r>
      <w:r w:rsidR="002E5E4C">
        <w:rPr>
          <w:vertAlign w:val="superscript"/>
        </w:rPr>
        <w:t>2</w:t>
      </w:r>
      <w:r w:rsidR="002E5E4C">
        <w:t>)</w:t>
      </w:r>
      <w:r w:rsidR="009412F7">
        <w:t xml:space="preserve"> </w:t>
      </w:r>
      <w:proofErr w:type="spellStart"/>
      <w:r w:rsidR="002E5E4C" w:rsidRPr="00703249">
        <w:t>Σ</w:t>
      </w:r>
      <w:r w:rsidR="002E5E4C" w:rsidRPr="00A858CB">
        <w:rPr>
          <w:b/>
          <w:bCs/>
          <w:i/>
          <w:iCs/>
          <w:vertAlign w:val="subscript"/>
        </w:rPr>
        <w:t>h</w:t>
      </w:r>
      <w:proofErr w:type="spellEnd"/>
      <w:r w:rsidR="00A5400A">
        <w:rPr>
          <w:b/>
          <w:bCs/>
          <w:i/>
          <w:iCs/>
          <w:vertAlign w:val="subscript"/>
        </w:rPr>
        <w:t xml:space="preserve"> </w:t>
      </w:r>
      <w:r w:rsidR="002E5E4C" w:rsidRPr="00A858CB">
        <w:rPr>
          <w:i/>
          <w:iCs/>
        </w:rPr>
        <w:t>V</w:t>
      </w:r>
      <w:r w:rsidR="002E5E4C" w:rsidRPr="00A858CB">
        <w:rPr>
          <w:b/>
          <w:bCs/>
          <w:i/>
          <w:iCs/>
          <w:vertAlign w:val="subscript"/>
        </w:rPr>
        <w:t>g-</w:t>
      </w:r>
      <w:proofErr w:type="spellStart"/>
      <w:r w:rsidR="002E5E4C" w:rsidRPr="00A858CB">
        <w:rPr>
          <w:b/>
          <w:bCs/>
          <w:i/>
          <w:iCs/>
          <w:vertAlign w:val="subscript"/>
        </w:rPr>
        <w:t>h</w:t>
      </w:r>
      <w:r w:rsidR="002E5E4C" w:rsidRPr="00A858CB">
        <w:rPr>
          <w:i/>
          <w:iCs/>
        </w:rPr>
        <w:t>C</w:t>
      </w:r>
      <w:r w:rsidR="002E5E4C" w:rsidRPr="00A858CB">
        <w:rPr>
          <w:b/>
          <w:bCs/>
          <w:i/>
          <w:iCs/>
          <w:vertAlign w:val="subscript"/>
        </w:rPr>
        <w:t>h</w:t>
      </w:r>
      <w:proofErr w:type="spellEnd"/>
      <w:r w:rsidR="002E5E4C">
        <w:rPr>
          <w:b/>
          <w:bCs/>
        </w:rPr>
        <w:t xml:space="preserve"> </w:t>
      </w:r>
      <w:r w:rsidR="002E5E4C">
        <w:t xml:space="preserve">and reconstructing the electrostatic potential through </w:t>
      </w:r>
      <w:proofErr w:type="spellStart"/>
      <w:r w:rsidR="002E5E4C" w:rsidRPr="00A858CB">
        <w:rPr>
          <w:i/>
          <w:iCs/>
        </w:rPr>
        <w:t>V</w:t>
      </w:r>
      <w:r w:rsidR="002E5E4C" w:rsidRPr="00A858CB">
        <w:rPr>
          <w:b/>
          <w:bCs/>
          <w:i/>
          <w:iCs/>
          <w:vertAlign w:val="subscript"/>
        </w:rPr>
        <w:t>h</w:t>
      </w:r>
      <w:proofErr w:type="spellEnd"/>
      <w:r w:rsidR="00A858CB">
        <w:t xml:space="preserve"> </w:t>
      </w:r>
      <w:r w:rsidR="002E5E4C">
        <w:t>=</w:t>
      </w:r>
      <w:r w:rsidR="00A858CB">
        <w:t xml:space="preserve"> </w:t>
      </w:r>
      <w:r w:rsidR="002E5E4C">
        <w:t>(1/4π</w:t>
      </w:r>
      <w:r w:rsidR="002E5E4C" w:rsidRPr="00A858CB">
        <w:rPr>
          <w:i/>
          <w:iCs/>
        </w:rPr>
        <w:t>h</w:t>
      </w:r>
      <w:r w:rsidR="002E5E4C" w:rsidRPr="00A858CB">
        <w:rPr>
          <w:vertAlign w:val="superscript"/>
        </w:rPr>
        <w:t>2</w:t>
      </w:r>
      <w:r w:rsidR="002E5E4C">
        <w:t>)</w:t>
      </w:r>
      <w:r w:rsidR="00A858CB">
        <w:t xml:space="preserve"> </w:t>
      </w:r>
      <w:proofErr w:type="spellStart"/>
      <w:r w:rsidR="002E5E4C">
        <w:t>Σ</w:t>
      </w:r>
      <w:r w:rsidR="002E5E4C" w:rsidRPr="00A858CB">
        <w:rPr>
          <w:b/>
          <w:bCs/>
          <w:i/>
          <w:iCs/>
          <w:vertAlign w:val="subscript"/>
        </w:rPr>
        <w:t>g</w:t>
      </w:r>
      <w:proofErr w:type="spellEnd"/>
      <w:r w:rsidR="00A5400A">
        <w:rPr>
          <w:b/>
          <w:bCs/>
        </w:rPr>
        <w:t xml:space="preserve"> </w:t>
      </w:r>
      <w:proofErr w:type="spellStart"/>
      <w:r w:rsidR="002E5E4C" w:rsidRPr="00A858CB">
        <w:rPr>
          <w:i/>
          <w:iCs/>
        </w:rPr>
        <w:t>C</w:t>
      </w:r>
      <w:r w:rsidR="002E5E4C" w:rsidRPr="00A858CB">
        <w:rPr>
          <w:b/>
          <w:bCs/>
          <w:i/>
          <w:iCs/>
          <w:vertAlign w:val="subscript"/>
        </w:rPr>
        <w:t>g</w:t>
      </w:r>
      <w:r w:rsidR="002E5E4C" w:rsidRPr="00A858CB">
        <w:rPr>
          <w:i/>
          <w:iCs/>
        </w:rPr>
        <w:t>C</w:t>
      </w:r>
      <w:proofErr w:type="spellEnd"/>
      <w:r w:rsidR="002E5E4C" w:rsidRPr="004A4B66">
        <w:rPr>
          <w:b/>
          <w:bCs/>
          <w:i/>
          <w:iCs/>
          <w:vertAlign w:val="superscript"/>
        </w:rPr>
        <w:t>*</w:t>
      </w:r>
      <w:r w:rsidR="002E5E4C" w:rsidRPr="004A4B66">
        <w:rPr>
          <w:b/>
          <w:bCs/>
          <w:i/>
          <w:iCs/>
          <w:vertAlign w:val="subscript"/>
        </w:rPr>
        <w:t>g-h</w:t>
      </w:r>
      <w:r w:rsidR="002E5E4C">
        <w:rPr>
          <w:b/>
          <w:bCs/>
        </w:rPr>
        <w:t>.</w:t>
      </w:r>
      <w:r w:rsidR="002E5E4C">
        <w:t xml:space="preserve"> In the convergence mode, a gradient descent algorithm minimizes the functional </w:t>
      </w:r>
      <w:r w:rsidR="002E5E4C" w:rsidRPr="004A4B66">
        <w:rPr>
          <w:i/>
          <w:iCs/>
        </w:rPr>
        <w:t>M</w:t>
      </w:r>
      <w:r w:rsidR="004A4B66">
        <w:rPr>
          <w:b/>
          <w:bCs/>
        </w:rPr>
        <w:t xml:space="preserve"> </w:t>
      </w:r>
      <w:r w:rsidR="002E5E4C">
        <w:rPr>
          <w:b/>
          <w:bCs/>
        </w:rPr>
        <w:t>=</w:t>
      </w:r>
      <w:r w:rsidR="004A4B66">
        <w:rPr>
          <w:b/>
          <w:bCs/>
        </w:rPr>
        <w:t xml:space="preserve"> </w:t>
      </w:r>
      <w:r w:rsidR="002E5E4C">
        <w:t>|</w:t>
      </w:r>
      <w:proofErr w:type="spellStart"/>
      <w:r w:rsidR="002E5E4C" w:rsidRPr="00E6028E">
        <w:rPr>
          <w:i/>
          <w:iCs/>
        </w:rPr>
        <w:t>V</w:t>
      </w:r>
      <w:r w:rsidR="002E5E4C" w:rsidRPr="00E6028E">
        <w:rPr>
          <w:b/>
          <w:bCs/>
          <w:i/>
          <w:iCs/>
          <w:vertAlign w:val="subscript"/>
        </w:rPr>
        <w:t>h</w:t>
      </w:r>
      <w:proofErr w:type="spellEnd"/>
      <w:r w:rsidR="002E5E4C">
        <w:rPr>
          <w:b/>
          <w:bCs/>
        </w:rPr>
        <w:t xml:space="preserve"> </w:t>
      </w:r>
      <w:r w:rsidR="00E6028E">
        <w:rPr>
          <w:b/>
          <w:bCs/>
        </w:rPr>
        <w:t>-</w:t>
      </w:r>
      <w:r w:rsidR="002E5E4C">
        <w:t xml:space="preserve"> </w:t>
      </w:r>
      <w:r w:rsidR="002E5E4C" w:rsidRPr="00E6028E">
        <w:rPr>
          <w:i/>
          <w:iCs/>
        </w:rPr>
        <w:t>V</w:t>
      </w:r>
      <w:r w:rsidR="002E5E4C" w:rsidRPr="00E6028E">
        <w:rPr>
          <w:b/>
          <w:bCs/>
          <w:i/>
          <w:iCs/>
          <w:vertAlign w:val="subscript"/>
        </w:rPr>
        <w:t>h</w:t>
      </w:r>
      <w:r w:rsidR="002E5E4C">
        <w:rPr>
          <w:vertAlign w:val="superscript"/>
        </w:rPr>
        <w:t>exp</w:t>
      </w:r>
      <w:r w:rsidR="002E5E4C">
        <w:t>|</w:t>
      </w:r>
      <w:r w:rsidR="002E5E4C">
        <w:rPr>
          <w:vertAlign w:val="superscript"/>
        </w:rPr>
        <w:t xml:space="preserve">2 </w:t>
      </w:r>
      <w:r w:rsidR="00C367B3">
        <w:t xml:space="preserve">[3] </w:t>
      </w:r>
      <w:r w:rsidR="002E5E4C">
        <w:t>to iteratively refine the moduli and phases of both the complex Bloch amplitudes and complex electrostatic potential</w:t>
      </w:r>
      <w:r w:rsidR="00E6028E">
        <w:t xml:space="preserve"> (scheme 1)</w:t>
      </w:r>
      <w:r w:rsidR="002E5E4C">
        <w:t xml:space="preserve">. The phase-extension mode incorporates these updates to promote reflections to "reliable" status once their computed values sufficiently match the experimental data, thereby expanding the known phase set. </w:t>
      </w:r>
      <w:r w:rsidR="00424323" w:rsidRPr="00424323">
        <w:t>The algorithm has been implemented in Python and its validity assessed through a convergence study (</w:t>
      </w:r>
      <w:r w:rsidR="00C8698C">
        <w:t>Fig.</w:t>
      </w:r>
      <w:r w:rsidR="00424323" w:rsidRPr="00424323">
        <w:t xml:space="preserve"> 1) applied to a dataset of histidine in space group P2</w:t>
      </w:r>
      <w:r w:rsidR="00424323" w:rsidRPr="00371E2A">
        <w:rPr>
          <w:vertAlign w:val="subscript"/>
        </w:rPr>
        <w:t>1</w:t>
      </w:r>
      <w:r w:rsidR="00424323" w:rsidRPr="00424323">
        <w:t>2</w:t>
      </w:r>
      <w:r w:rsidR="00424323" w:rsidRPr="00371E2A">
        <w:rPr>
          <w:vertAlign w:val="subscript"/>
        </w:rPr>
        <w:t>1</w:t>
      </w:r>
      <w:r w:rsidR="00424323" w:rsidRPr="00424323">
        <w:t>2</w:t>
      </w:r>
      <w:r w:rsidR="00424323" w:rsidRPr="00371E2A">
        <w:rPr>
          <w:vertAlign w:val="subscript"/>
        </w:rPr>
        <w:t>1</w:t>
      </w:r>
      <w:r w:rsidR="00424323" w:rsidRPr="00424323">
        <w:t>, kindly provided by Prof. T. Gruene. All experimental values were normalized prior to analysis.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"/>
        <w:gridCol w:w="5507"/>
        <w:gridCol w:w="1"/>
        <w:gridCol w:w="5503"/>
      </w:tblGrid>
      <w:tr w:rsidR="00000000" w14:paraId="38A0CFBF" w14:textId="77777777">
        <w:trPr>
          <w:gridBefore w:val="1"/>
        </w:trPr>
        <w:tc>
          <w:tcPr>
            <w:tcW w:w="5310" w:type="dxa"/>
            <w:gridSpan w:val="2"/>
            <w:shd w:val="clear" w:color="auto" w:fill="auto"/>
          </w:tcPr>
          <w:p w14:paraId="52E1C149" w14:textId="321E9D4F" w:rsidR="007B3418" w:rsidRDefault="00FC45F0">
            <w:pPr>
              <w:jc w:val="center"/>
            </w:pPr>
            <w:r>
              <w:pict w14:anchorId="1BF5D9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85" type="#_x0000_t75" style="width:202.55pt;height:148.85pt">
                  <v:imagedata r:id="rId9" o:title="scheme-1"/>
                </v:shape>
              </w:pict>
            </w:r>
          </w:p>
        </w:tc>
        <w:tc>
          <w:tcPr>
            <w:tcW w:w="3078" w:type="dxa"/>
            <w:shd w:val="clear" w:color="auto" w:fill="auto"/>
          </w:tcPr>
          <w:p w14:paraId="7E81A247" w14:textId="77777777" w:rsidR="00E64AD9" w:rsidRDefault="00E64AD9"/>
          <w:p w14:paraId="59BCA436" w14:textId="77777777" w:rsidR="00E64AD9" w:rsidRDefault="00E64AD9"/>
          <w:p w14:paraId="23464FF6" w14:textId="77777777" w:rsidR="00E64AD9" w:rsidRDefault="00E64AD9"/>
          <w:p w14:paraId="689EA761" w14:textId="77777777" w:rsidR="00E64AD9" w:rsidRDefault="00E64AD9"/>
          <w:p w14:paraId="39C0E869" w14:textId="05B502F2" w:rsidR="007B3418" w:rsidRDefault="00B137D7">
            <w:r>
              <w:rPr>
                <w:b/>
                <w:bCs/>
              </w:rPr>
              <w:t>Scheme 1</w:t>
            </w:r>
            <w:r w:rsidR="00E82A84">
              <w:t>: Algorith</w:t>
            </w:r>
            <w:r w:rsidR="008E2C3B">
              <w:t xml:space="preserve">m flow </w:t>
            </w:r>
            <w:r w:rsidR="001968B4">
              <w:t>chart</w:t>
            </w:r>
          </w:p>
        </w:tc>
      </w:tr>
      <w:tr w:rsidR="00000000" w14:paraId="69988A3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BDC1B" w14:textId="0824DD13" w:rsidR="005C1D8E" w:rsidRDefault="00024CA1">
            <w:pPr>
              <w:pStyle w:val="Heading6"/>
              <w:rPr>
                <w:rStyle w:val="Heading6Char"/>
                <w:b/>
              </w:rPr>
            </w:pPr>
            <w:r>
              <w:rPr>
                <w:rStyle w:val="Heading6Char"/>
                <w:b/>
              </w:rPr>
              <w:pict w14:anchorId="696D918F">
                <v:shape id="_x0000_i1031" type="#_x0000_t75" style="width:262.75pt;height:157.45pt">
                  <v:imagedata r:id="rId10" o:title="potential_rmoduli_plot"/>
                </v:shape>
              </w:pict>
            </w:r>
          </w:p>
        </w:tc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7CB21" w14:textId="01A4D0C4" w:rsidR="005C1D8E" w:rsidRDefault="00024CA1">
            <w:pPr>
              <w:pStyle w:val="Heading6"/>
              <w:rPr>
                <w:rStyle w:val="Heading6Char"/>
                <w:b/>
              </w:rPr>
            </w:pPr>
            <w:r>
              <w:rPr>
                <w:rStyle w:val="Heading6Char"/>
                <w:b/>
              </w:rPr>
              <w:pict w14:anchorId="40473D85">
                <v:shape id="_x0000_i1034" type="#_x0000_t75" style="width:257.9pt;height:154.75pt">
                  <v:imagedata r:id="rId11" o:title="mean_phase_error_plot"/>
                </v:shape>
              </w:pict>
            </w:r>
          </w:p>
        </w:tc>
      </w:tr>
    </w:tbl>
    <w:p w14:paraId="02901694" w14:textId="6C49C6E9" w:rsidR="00BC4249" w:rsidRDefault="00BC4249">
      <w:pPr>
        <w:pStyle w:val="Heading6"/>
        <w:rPr>
          <w:rStyle w:val="Heading6Char"/>
          <w:b/>
        </w:rPr>
      </w:pPr>
    </w:p>
    <w:p w14:paraId="02901696" w14:textId="4BF749EA" w:rsidR="00BC4249" w:rsidRDefault="00000000" w:rsidP="00D41209">
      <w:pPr>
        <w:pStyle w:val="Heading6"/>
        <w:jc w:val="left"/>
      </w:pPr>
      <w:r>
        <w:rPr>
          <w:b/>
        </w:rPr>
        <w:t>Figure 1</w:t>
      </w:r>
      <w:r>
        <w:t xml:space="preserve">. </w:t>
      </w:r>
      <w:r w:rsidR="00D81498" w:rsidRPr="00D81498">
        <w:rPr>
          <w:b/>
        </w:rPr>
        <w:t>(</w:t>
      </w:r>
      <w:r w:rsidR="009B246B">
        <w:rPr>
          <w:b/>
        </w:rPr>
        <w:t>Left</w:t>
      </w:r>
      <w:r w:rsidR="00D81498" w:rsidRPr="00D81498">
        <w:rPr>
          <w:b/>
        </w:rPr>
        <w:t>)</w:t>
      </w:r>
      <w:r w:rsidR="00D81498" w:rsidRPr="00D81498">
        <w:t xml:space="preserve"> Convergence of </w:t>
      </w:r>
      <w:proofErr w:type="spellStart"/>
      <w:r w:rsidR="00D81498" w:rsidRPr="00D81498">
        <w:rPr>
          <w:i/>
          <w:iCs/>
        </w:rPr>
        <w:t>R</w:t>
      </w:r>
      <w:r w:rsidR="00D81498" w:rsidRPr="00141386">
        <w:rPr>
          <w:vertAlign w:val="subscript"/>
        </w:rPr>
        <w:t>moduli</w:t>
      </w:r>
      <w:proofErr w:type="spellEnd"/>
      <w:r w:rsidR="00D81498" w:rsidRPr="00D81498">
        <w:t xml:space="preserve">​ (red) and the differences between </w:t>
      </w:r>
      <w:r w:rsidR="00EF39EE">
        <w:t xml:space="preserve">complex </w:t>
      </w:r>
      <w:proofErr w:type="spellStart"/>
      <w:r w:rsidR="00D81498" w:rsidRPr="002960C0">
        <w:rPr>
          <w:i/>
          <w:iCs/>
        </w:rPr>
        <w:t>V</w:t>
      </w:r>
      <w:r w:rsidR="00D81498" w:rsidRPr="002960C0">
        <w:rPr>
          <w:i/>
          <w:iCs/>
          <w:vertAlign w:val="superscript"/>
        </w:rPr>
        <w:t>calc</w:t>
      </w:r>
      <w:proofErr w:type="spellEnd"/>
      <w:r w:rsidR="00D81498" w:rsidRPr="00D81498">
        <w:t xml:space="preserve">​ and </w:t>
      </w:r>
      <w:proofErr w:type="spellStart"/>
      <w:r w:rsidR="00D81498" w:rsidRPr="00C86888">
        <w:rPr>
          <w:i/>
          <w:iCs/>
        </w:rPr>
        <w:t>V</w:t>
      </w:r>
      <w:r w:rsidR="00D81498" w:rsidRPr="00C86888">
        <w:rPr>
          <w:i/>
          <w:iCs/>
          <w:vertAlign w:val="superscript"/>
        </w:rPr>
        <w:t>exp</w:t>
      </w:r>
      <w:proofErr w:type="spellEnd"/>
      <w:r w:rsidR="00D81498" w:rsidRPr="00D81498">
        <w:t xml:space="preserve"> (blue). </w:t>
      </w:r>
      <w:r w:rsidR="00D81498" w:rsidRPr="00D81498">
        <w:rPr>
          <w:b/>
        </w:rPr>
        <w:t>(</w:t>
      </w:r>
      <w:r w:rsidR="009B246B">
        <w:rPr>
          <w:b/>
        </w:rPr>
        <w:t>Right</w:t>
      </w:r>
      <w:r w:rsidR="00D81498" w:rsidRPr="00D81498">
        <w:rPr>
          <w:b/>
        </w:rPr>
        <w:t>)</w:t>
      </w:r>
      <w:r w:rsidR="00D81498" w:rsidRPr="00D81498">
        <w:t xml:space="preserve"> Convergence of the mean error</w:t>
      </w:r>
      <w:r w:rsidR="00D41209">
        <w:t xml:space="preserve"> of the calculated phases</w:t>
      </w:r>
      <w:r w:rsidR="008677E9">
        <w:t>.</w:t>
      </w:r>
      <w:r w:rsidR="008677E9" w:rsidRPr="008677E9">
        <w:t xml:space="preserve"> </w:t>
      </w:r>
      <w:r w:rsidR="008677E9" w:rsidRPr="00D81498">
        <w:t>Correct phases are obtained after refinement with SHELXL.</w:t>
      </w:r>
    </w:p>
    <w:p w14:paraId="02901698" w14:textId="77777777" w:rsidR="00BC4249" w:rsidRDefault="00000000">
      <w:pPr>
        <w:rPr>
          <w:lang w:eastAsia="cs-CZ"/>
        </w:rPr>
      </w:pPr>
      <w:r>
        <w:t xml:space="preserve">[1] Bethanis, K., </w:t>
      </w:r>
      <w:proofErr w:type="spellStart"/>
      <w:r>
        <w:t>Tzamalis</w:t>
      </w:r>
      <w:proofErr w:type="spellEnd"/>
      <w:r>
        <w:t xml:space="preserve">, P., </w:t>
      </w:r>
      <w:proofErr w:type="spellStart"/>
      <w:r>
        <w:t>Hountas</w:t>
      </w:r>
      <w:proofErr w:type="spellEnd"/>
      <w:r>
        <w:t xml:space="preserve">, A. &amp; </w:t>
      </w:r>
      <w:proofErr w:type="spellStart"/>
      <w:r>
        <w:t>Tsoucaris</w:t>
      </w:r>
      <w:proofErr w:type="spellEnd"/>
      <w:r>
        <w:t xml:space="preserve">, G. (2008). Acta </w:t>
      </w:r>
      <w:proofErr w:type="spellStart"/>
      <w:r>
        <w:t>Cryst</w:t>
      </w:r>
      <w:proofErr w:type="spellEnd"/>
      <w:r>
        <w:t>. A64, 450-458.</w:t>
      </w:r>
    </w:p>
    <w:p w14:paraId="02901699" w14:textId="77777777" w:rsidR="00BC4249" w:rsidRDefault="00000000">
      <w:r>
        <w:t xml:space="preserve">[2] Bethanis, K., </w:t>
      </w:r>
      <w:proofErr w:type="spellStart"/>
      <w:r>
        <w:t>Tzamalis</w:t>
      </w:r>
      <w:proofErr w:type="spellEnd"/>
      <w:r>
        <w:t xml:space="preserve">, P., </w:t>
      </w:r>
      <w:proofErr w:type="spellStart"/>
      <w:r>
        <w:t>Hountas</w:t>
      </w:r>
      <w:proofErr w:type="spellEnd"/>
      <w:r>
        <w:t xml:space="preserve">, A. &amp; </w:t>
      </w:r>
      <w:proofErr w:type="spellStart"/>
      <w:r>
        <w:t>Tsoucaris</w:t>
      </w:r>
      <w:proofErr w:type="spellEnd"/>
      <w:r>
        <w:t xml:space="preserve">, G. (2002). Acta </w:t>
      </w:r>
      <w:proofErr w:type="spellStart"/>
      <w:r>
        <w:t>Cryst</w:t>
      </w:r>
      <w:proofErr w:type="spellEnd"/>
      <w:r>
        <w:t>. A58, 265-269.</w:t>
      </w:r>
    </w:p>
    <w:p w14:paraId="270C1910" w14:textId="77777777" w:rsidR="00DB7453" w:rsidRDefault="00DB7453" w:rsidP="002A4CF5">
      <w:pPr>
        <w:rPr>
          <w:lang w:eastAsia="cs-CZ"/>
        </w:rPr>
      </w:pPr>
      <w:r>
        <w:t xml:space="preserve">[3] </w:t>
      </w:r>
      <w:proofErr w:type="spellStart"/>
      <w:r>
        <w:t>Hountas</w:t>
      </w:r>
      <w:proofErr w:type="spellEnd"/>
      <w:r>
        <w:t xml:space="preserve">, A. &amp; </w:t>
      </w:r>
      <w:proofErr w:type="spellStart"/>
      <w:r>
        <w:t>Tsoucaris</w:t>
      </w:r>
      <w:proofErr w:type="spellEnd"/>
      <w:r>
        <w:t xml:space="preserve">, G. (1995). Acta </w:t>
      </w:r>
      <w:proofErr w:type="spellStart"/>
      <w:r>
        <w:t>Cryst</w:t>
      </w:r>
      <w:proofErr w:type="spellEnd"/>
      <w:r>
        <w:t>. A51, 754-763.</w:t>
      </w:r>
    </w:p>
    <w:p w14:paraId="0290169B" w14:textId="0D1B79BC" w:rsidR="00BC4249" w:rsidRDefault="00E25A28" w:rsidP="00F141F0">
      <w:pPr>
        <w:pStyle w:val="Acknowledgement"/>
      </w:pPr>
      <w:r w:rsidRPr="00E25A28">
        <w:rPr>
          <w:lang w:eastAsia="cs-CZ"/>
        </w:rPr>
        <w:t>The authors gratefully acknowledge Prof. T. Gruene for kindly providing the dataset.</w:t>
      </w:r>
    </w:p>
    <w:sectPr w:rsidR="00BC42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C99E7" w14:textId="77777777" w:rsidR="00BC4605" w:rsidRDefault="00BC4605">
      <w:pPr>
        <w:spacing w:after="0"/>
      </w:pPr>
      <w:r>
        <w:separator/>
      </w:r>
    </w:p>
  </w:endnote>
  <w:endnote w:type="continuationSeparator" w:id="0">
    <w:p w14:paraId="20AEC7E9" w14:textId="77777777" w:rsidR="00BC4605" w:rsidRDefault="00BC46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016A2" w14:textId="77777777" w:rsidR="00BC4249" w:rsidRDefault="00BC42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016A3" w14:textId="77777777" w:rsidR="00BC4249" w:rsidRDefault="00BC4249">
    <w:pPr>
      <w:pStyle w:val="Footer"/>
      <w:rPr>
        <w:shd w:val="clear" w:color="auto" w:fill="FF0000"/>
      </w:rPr>
    </w:pPr>
  </w:p>
  <w:p w14:paraId="029016A4" w14:textId="77777777" w:rsidR="00BC4249" w:rsidRDefault="00BC4249">
    <w:pPr>
      <w:tabs>
        <w:tab w:val="center" w:pos="4703"/>
        <w:tab w:val="right" w:pos="94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016A6" w14:textId="77777777" w:rsidR="00BC4249" w:rsidRDefault="00BC4249">
    <w:pPr>
      <w:pStyle w:val="Footer"/>
      <w:rPr>
        <w:shd w:val="clear" w:color="auto" w:fill="FF0000"/>
      </w:rPr>
    </w:pPr>
  </w:p>
  <w:p w14:paraId="029016A7" w14:textId="77777777" w:rsidR="00BC4249" w:rsidRDefault="00BC4249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99ACF" w14:textId="77777777" w:rsidR="00BC4605" w:rsidRDefault="00BC4605">
      <w:pPr>
        <w:spacing w:after="0"/>
      </w:pPr>
      <w:r>
        <w:separator/>
      </w:r>
    </w:p>
  </w:footnote>
  <w:footnote w:type="continuationSeparator" w:id="0">
    <w:p w14:paraId="52981B2F" w14:textId="77777777" w:rsidR="00BC4605" w:rsidRDefault="00BC46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016A0" w14:textId="77777777" w:rsidR="00BC4249" w:rsidRDefault="00BC42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016A1" w14:textId="77777777" w:rsidR="00BC4249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016A5" w14:textId="77777777" w:rsidR="00BC4249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741F4"/>
    <w:multiLevelType w:val="hybridMultilevel"/>
    <w:tmpl w:val="E7E86ACE"/>
    <w:lvl w:ilvl="0" w:tplc="FA761EB8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D5181"/>
    <w:multiLevelType w:val="hybridMultilevel"/>
    <w:tmpl w:val="D9AC3BFC"/>
    <w:lvl w:ilvl="0" w:tplc="81CA862C">
      <w:start w:val="1"/>
      <w:numFmt w:val="upp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8401828">
    <w:abstractNumId w:val="0"/>
  </w:num>
  <w:num w:numId="2" w16cid:durableId="1367440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4249"/>
    <w:rsid w:val="00024CA1"/>
    <w:rsid w:val="00066B0A"/>
    <w:rsid w:val="000B2027"/>
    <w:rsid w:val="00114BDE"/>
    <w:rsid w:val="001262C8"/>
    <w:rsid w:val="00141386"/>
    <w:rsid w:val="00175AE0"/>
    <w:rsid w:val="001968B4"/>
    <w:rsid w:val="002037D9"/>
    <w:rsid w:val="00272C46"/>
    <w:rsid w:val="00282D3E"/>
    <w:rsid w:val="002960C0"/>
    <w:rsid w:val="002A4CF5"/>
    <w:rsid w:val="002A7400"/>
    <w:rsid w:val="002E5E4C"/>
    <w:rsid w:val="00326FAE"/>
    <w:rsid w:val="00371E2A"/>
    <w:rsid w:val="003B0EA1"/>
    <w:rsid w:val="00424323"/>
    <w:rsid w:val="00480A7E"/>
    <w:rsid w:val="004A4B66"/>
    <w:rsid w:val="005211E7"/>
    <w:rsid w:val="005C189A"/>
    <w:rsid w:val="005C1D8E"/>
    <w:rsid w:val="005D0448"/>
    <w:rsid w:val="00664D21"/>
    <w:rsid w:val="00703249"/>
    <w:rsid w:val="00787B9E"/>
    <w:rsid w:val="007B3418"/>
    <w:rsid w:val="007C2763"/>
    <w:rsid w:val="008063EC"/>
    <w:rsid w:val="008677E9"/>
    <w:rsid w:val="00885148"/>
    <w:rsid w:val="00887C1B"/>
    <w:rsid w:val="008B7A19"/>
    <w:rsid w:val="008C3D8F"/>
    <w:rsid w:val="008E2C3B"/>
    <w:rsid w:val="009274DC"/>
    <w:rsid w:val="009412F7"/>
    <w:rsid w:val="00986D01"/>
    <w:rsid w:val="009B246B"/>
    <w:rsid w:val="00A0773E"/>
    <w:rsid w:val="00A24A57"/>
    <w:rsid w:val="00A436D1"/>
    <w:rsid w:val="00A5400A"/>
    <w:rsid w:val="00A65EF0"/>
    <w:rsid w:val="00A74110"/>
    <w:rsid w:val="00A858CB"/>
    <w:rsid w:val="00B137D7"/>
    <w:rsid w:val="00BB3FBD"/>
    <w:rsid w:val="00BC4249"/>
    <w:rsid w:val="00BC4605"/>
    <w:rsid w:val="00BE271D"/>
    <w:rsid w:val="00BF3E04"/>
    <w:rsid w:val="00C11FD3"/>
    <w:rsid w:val="00C367B3"/>
    <w:rsid w:val="00C801E6"/>
    <w:rsid w:val="00C86888"/>
    <w:rsid w:val="00C8698C"/>
    <w:rsid w:val="00C921F3"/>
    <w:rsid w:val="00CB5926"/>
    <w:rsid w:val="00CC79D9"/>
    <w:rsid w:val="00D11B4B"/>
    <w:rsid w:val="00D41209"/>
    <w:rsid w:val="00D46F9E"/>
    <w:rsid w:val="00D52008"/>
    <w:rsid w:val="00D81498"/>
    <w:rsid w:val="00DB7453"/>
    <w:rsid w:val="00E0475A"/>
    <w:rsid w:val="00E25A28"/>
    <w:rsid w:val="00E6028E"/>
    <w:rsid w:val="00E64AD9"/>
    <w:rsid w:val="00E82A84"/>
    <w:rsid w:val="00ED039D"/>
    <w:rsid w:val="00EF39EE"/>
    <w:rsid w:val="00F141F0"/>
    <w:rsid w:val="00F35850"/>
    <w:rsid w:val="00FA3129"/>
    <w:rsid w:val="00FC45F0"/>
    <w:rsid w:val="00FE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0168C"/>
  <w15:docId w15:val="{0BF64DC0-80F3-4F78-B616-196833FB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uppressAutoHyphens/>
      <w:spacing w:after="120"/>
      <w:jc w:val="both"/>
    </w:pPr>
    <w:rPr>
      <w:lang w:val="en-GB" w:eastAsia="de-DE" w:bidi="ar-SA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character" w:styleId="Hyperlink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eth@aua.g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337</Words>
  <Characters>1923</Characters>
  <Application>Microsoft Office Word</Application>
  <DocSecurity>0</DocSecurity>
  <Lines>16</Lines>
  <Paragraphs>4</Paragraphs>
  <ScaleCrop>false</ScaleCrop>
  <Company>MFF UK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Kostas Bethanis</cp:lastModifiedBy>
  <cp:revision>103</cp:revision>
  <dcterms:created xsi:type="dcterms:W3CDTF">2019-09-04T15:26:00Z</dcterms:created>
  <dcterms:modified xsi:type="dcterms:W3CDTF">2025-05-09T12:40:00Z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