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7FB03" w14:textId="75B0A448" w:rsidR="00A11D07" w:rsidRDefault="006F6C4E">
      <w:pPr>
        <w:pStyle w:val="Heading1"/>
      </w:pPr>
      <w:r>
        <w:t xml:space="preserve">Host-Guest Chemistry of Helical Copper(I) Coordination Polymers </w:t>
      </w:r>
    </w:p>
    <w:p w14:paraId="68458418" w14:textId="5DFBC8CA" w:rsidR="00A11D07" w:rsidRPr="006F6C4E" w:rsidRDefault="006F6C4E">
      <w:pPr>
        <w:pStyle w:val="Heading2"/>
        <w:rPr>
          <w:vertAlign w:val="superscript"/>
          <w:lang w:val="pl-PL"/>
        </w:rPr>
      </w:pPr>
      <w:r w:rsidRPr="006F6C4E">
        <w:rPr>
          <w:lang w:val="pl-PL"/>
        </w:rPr>
        <w:t>E. Ganczar</w:t>
      </w:r>
      <w:r>
        <w:rPr>
          <w:vertAlign w:val="superscript"/>
          <w:lang w:val="pl-PL"/>
        </w:rPr>
        <w:t>1</w:t>
      </w:r>
      <w:r w:rsidRPr="006F6C4E">
        <w:rPr>
          <w:lang w:val="pl-PL"/>
        </w:rPr>
        <w:t>, W. Bury</w:t>
      </w:r>
      <w:r>
        <w:rPr>
          <w:vertAlign w:val="superscript"/>
          <w:lang w:val="pl-PL"/>
        </w:rPr>
        <w:t>1</w:t>
      </w:r>
      <w:r w:rsidRPr="006F6C4E">
        <w:rPr>
          <w:lang w:val="pl-PL"/>
        </w:rPr>
        <w:t>, P. Gawryszewska</w:t>
      </w:r>
      <w:r>
        <w:rPr>
          <w:vertAlign w:val="superscript"/>
          <w:lang w:val="pl-PL"/>
        </w:rPr>
        <w:t>1</w:t>
      </w:r>
      <w:r w:rsidRPr="006F6C4E">
        <w:rPr>
          <w:lang w:val="pl-PL"/>
        </w:rPr>
        <w:t>, V. Kinzhybalo</w:t>
      </w:r>
      <w:r>
        <w:rPr>
          <w:vertAlign w:val="superscript"/>
          <w:lang w:val="pl-PL"/>
        </w:rPr>
        <w:t>2</w:t>
      </w:r>
      <w:r w:rsidRPr="006F6C4E">
        <w:rPr>
          <w:lang w:val="pl-PL"/>
        </w:rPr>
        <w:t>, A. Białońska</w:t>
      </w:r>
      <w:r>
        <w:rPr>
          <w:vertAlign w:val="superscript"/>
          <w:lang w:val="pl-PL"/>
        </w:rPr>
        <w:t>1</w:t>
      </w:r>
    </w:p>
    <w:p w14:paraId="4DE97D09" w14:textId="5EB2B016" w:rsidR="00A11D07" w:rsidRDefault="00000000" w:rsidP="00CA7D4D">
      <w:pPr>
        <w:pStyle w:val="Heading3"/>
      </w:pPr>
      <w:r>
        <w:rPr>
          <w:vertAlign w:val="superscript"/>
        </w:rPr>
        <w:t>1</w:t>
      </w:r>
      <w:r>
        <w:t>F</w:t>
      </w:r>
      <w:r w:rsidR="006F6C4E">
        <w:t>aculty of Chemistry University of Wrocław, ul. Joliot-Curie 14, 50-383 Wrocław (Poland)</w:t>
      </w:r>
      <w:r>
        <w:t>,</w:t>
      </w:r>
      <w:r w:rsidR="00CA7D4D">
        <w:br/>
      </w:r>
      <w:r>
        <w:t xml:space="preserve"> </w:t>
      </w:r>
      <w:r>
        <w:rPr>
          <w:vertAlign w:val="superscript"/>
        </w:rPr>
        <w:t>2</w:t>
      </w:r>
      <w:r w:rsidR="006F6C4E">
        <w:t xml:space="preserve">Institute of Low Temperature and Structure Research, Polish Academy of Sciences, ul. </w:t>
      </w:r>
      <w:proofErr w:type="spellStart"/>
      <w:r w:rsidR="006F6C4E">
        <w:t>Okólna</w:t>
      </w:r>
      <w:proofErr w:type="spellEnd"/>
      <w:r w:rsidR="006F6C4E">
        <w:t xml:space="preserve"> 2, 50-422 Wrocław (Poland)</w:t>
      </w:r>
    </w:p>
    <w:p w14:paraId="116EA6D4" w14:textId="69736B70" w:rsidR="00A11D07" w:rsidRDefault="006F6C4E">
      <w:pPr>
        <w:pStyle w:val="Heading3"/>
        <w:rPr>
          <w:sz w:val="18"/>
          <w:szCs w:val="18"/>
        </w:rPr>
      </w:pPr>
      <w:r>
        <w:t>emilia.ganczar2@uwr.edu.pl</w:t>
      </w:r>
      <w:r>
        <w:rPr>
          <w:lang w:eastAsia="de-DE"/>
        </w:rPr>
        <w:br/>
      </w:r>
    </w:p>
    <w:p w14:paraId="0826DBA6" w14:textId="0F6C888E" w:rsidR="00491E15" w:rsidRDefault="00491E15">
      <w:pPr>
        <w:rPr>
          <w:lang w:val="en-US"/>
        </w:rPr>
      </w:pPr>
      <w:r w:rsidRPr="004813DF">
        <w:rPr>
          <w:lang w:val="en-US"/>
        </w:rPr>
        <w:t>Compounds with the characteristic supramolecular structure of the host−guest type are found in the area of continuous interest of the scientific world. Such compounds are attractive in the context of their physicochemical and structural properties that can be properly designed and modified [1].</w:t>
      </w:r>
      <w:r>
        <w:rPr>
          <w:lang w:val="en-US"/>
        </w:rPr>
        <w:t xml:space="preserve"> </w:t>
      </w:r>
      <w:r w:rsidR="007F6411" w:rsidRPr="001C3778">
        <w:rPr>
          <w:lang w:val="en-US"/>
        </w:rPr>
        <w:t>Due to the architectures of the host, the host-guest crystal</w:t>
      </w:r>
      <w:r w:rsidR="006F73D0" w:rsidRPr="009975FF">
        <w:rPr>
          <w:lang w:val="en-US"/>
        </w:rPr>
        <w:t>s</w:t>
      </w:r>
      <w:r w:rsidR="007F6411" w:rsidRPr="001C3778">
        <w:rPr>
          <w:lang w:val="en-US"/>
        </w:rPr>
        <w:t xml:space="preserve"> can be divided into two main categories: molecular complexes where convex guests adjust to a concave host</w:t>
      </w:r>
      <w:r w:rsidR="007F6411" w:rsidRPr="00472E7E">
        <w:rPr>
          <w:lang w:val="en-US"/>
        </w:rPr>
        <w:t>,</w:t>
      </w:r>
      <w:r w:rsidR="007F6411" w:rsidRPr="001C3778">
        <w:rPr>
          <w:lang w:val="en-US"/>
        </w:rPr>
        <w:t xml:space="preserve"> and compounds in which the packing of the host leads to the formation of the empty spaces (channel</w:t>
      </w:r>
      <w:r w:rsidR="003D1A58">
        <w:rPr>
          <w:lang w:val="en-US"/>
        </w:rPr>
        <w:t>s</w:t>
      </w:r>
      <w:r w:rsidR="007F6411" w:rsidRPr="001C3778">
        <w:rPr>
          <w:lang w:val="en-US"/>
        </w:rPr>
        <w:t xml:space="preserve"> or sheets) in which guest molecules may be deposited</w:t>
      </w:r>
      <w:r>
        <w:rPr>
          <w:lang w:val="en-US"/>
        </w:rPr>
        <w:t xml:space="preserve"> [2]</w:t>
      </w:r>
      <w:r w:rsidR="007F6411" w:rsidRPr="001C3778">
        <w:rPr>
          <w:lang w:val="en-US"/>
        </w:rPr>
        <w:t>.</w:t>
      </w:r>
      <w:r>
        <w:rPr>
          <w:lang w:val="en-US"/>
        </w:rPr>
        <w:t xml:space="preserve"> </w:t>
      </w:r>
      <w:r w:rsidRPr="00491E15">
        <w:rPr>
          <w:lang w:val="en-US"/>
        </w:rPr>
        <w:t>The presence of channels in the crystal structure is attractive in the context of the exchange of guest molecules, which is used in heterogeneous catalysis, selective molecular separation, gas storage or chemical sensors.</w:t>
      </w:r>
    </w:p>
    <w:p w14:paraId="21C6B123" w14:textId="3E9B621C" w:rsidR="00491E15" w:rsidRDefault="00491E15" w:rsidP="00491E15">
      <w:r w:rsidRPr="00491E15">
        <w:rPr>
          <w:lang w:val="en-US"/>
        </w:rPr>
        <w:t>An interesting group of compounds are copper(I) coordination compounds with Schiff bases based on 4-amino-1,2,4-triazole. Reported previously copper(I) coordination compoun</w:t>
      </w:r>
      <w:r w:rsidRPr="009975FF">
        <w:rPr>
          <w:lang w:val="en-US"/>
        </w:rPr>
        <w:t>d</w:t>
      </w:r>
      <w:r w:rsidR="006F73D0" w:rsidRPr="009975FF">
        <w:rPr>
          <w:lang w:val="en-US"/>
        </w:rPr>
        <w:t>s</w:t>
      </w:r>
      <w:r w:rsidRPr="00491E15">
        <w:rPr>
          <w:lang w:val="en-US"/>
        </w:rPr>
        <w:t xml:space="preserve"> with </w:t>
      </w:r>
      <w:r w:rsidRPr="00491E15">
        <w:rPr>
          <w:i/>
          <w:iCs/>
          <w:lang w:val="en-US"/>
        </w:rPr>
        <w:t>N</w:t>
      </w:r>
      <w:r w:rsidRPr="00491E15">
        <w:rPr>
          <w:lang w:val="en-US"/>
        </w:rPr>
        <w:t>-[(</w:t>
      </w:r>
      <w:r w:rsidRPr="00491E15">
        <w:rPr>
          <w:i/>
          <w:iCs/>
          <w:lang w:val="en-US"/>
        </w:rPr>
        <w:t>E</w:t>
      </w:r>
      <w:r w:rsidRPr="00491E15">
        <w:rPr>
          <w:lang w:val="en-US"/>
        </w:rPr>
        <w:t>)-(4-chlorobenzylidene)-4</w:t>
      </w:r>
      <w:r w:rsidRPr="00491E15">
        <w:rPr>
          <w:i/>
          <w:iCs/>
          <w:lang w:val="en-US"/>
        </w:rPr>
        <w:t>H</w:t>
      </w:r>
      <w:r w:rsidRPr="00491E15">
        <w:rPr>
          <w:lang w:val="en-US"/>
        </w:rPr>
        <w:t>-1,2,4-triazol-4-amine (4ClPhtrz)</w:t>
      </w:r>
      <w:r>
        <w:rPr>
          <w:lang w:val="en-US"/>
        </w:rPr>
        <w:t xml:space="preserve"> and </w:t>
      </w:r>
      <w:r w:rsidRPr="00491E15">
        <w:rPr>
          <w:i/>
          <w:iCs/>
          <w:lang w:val="en-US"/>
        </w:rPr>
        <w:t>N</w:t>
      </w:r>
      <w:r w:rsidRPr="00491E15">
        <w:rPr>
          <w:lang w:val="en-US"/>
        </w:rPr>
        <w:t>-[(</w:t>
      </w:r>
      <w:r w:rsidRPr="00491E15">
        <w:rPr>
          <w:i/>
          <w:iCs/>
          <w:lang w:val="en-US"/>
        </w:rPr>
        <w:t>E</w:t>
      </w:r>
      <w:r w:rsidRPr="00491E15">
        <w:rPr>
          <w:lang w:val="en-US"/>
        </w:rPr>
        <w:t>)-(4-</w:t>
      </w:r>
      <w:r>
        <w:rPr>
          <w:lang w:val="en-US"/>
        </w:rPr>
        <w:t>bromo</w:t>
      </w:r>
      <w:r w:rsidRPr="00491E15">
        <w:rPr>
          <w:lang w:val="en-US"/>
        </w:rPr>
        <w:t>benzylidene)-4</w:t>
      </w:r>
      <w:r w:rsidRPr="00491E15">
        <w:rPr>
          <w:i/>
          <w:iCs/>
          <w:lang w:val="en-US"/>
        </w:rPr>
        <w:t>H</w:t>
      </w:r>
      <w:r w:rsidRPr="00491E15">
        <w:rPr>
          <w:lang w:val="en-US"/>
        </w:rPr>
        <w:t>-1,2,4-triazol-4-amine (4</w:t>
      </w:r>
      <w:r>
        <w:rPr>
          <w:lang w:val="en-US"/>
        </w:rPr>
        <w:t>Br</w:t>
      </w:r>
      <w:r w:rsidRPr="00491E15">
        <w:rPr>
          <w:lang w:val="en-US"/>
        </w:rPr>
        <w:t>Phtrz) h</w:t>
      </w:r>
      <w:r w:rsidRPr="009975FF">
        <w:rPr>
          <w:lang w:val="en-US"/>
        </w:rPr>
        <w:t>a</w:t>
      </w:r>
      <w:r w:rsidR="006F73D0" w:rsidRPr="009975FF">
        <w:rPr>
          <w:lang w:val="en-US"/>
        </w:rPr>
        <w:t>ve</w:t>
      </w:r>
      <w:r w:rsidRPr="00491E15">
        <w:rPr>
          <w:lang w:val="en-US"/>
        </w:rPr>
        <w:t xml:space="preserve"> the ability to breathe. </w:t>
      </w:r>
      <w:r w:rsidRPr="009975FF">
        <w:rPr>
          <w:lang w:val="en-US"/>
        </w:rPr>
        <w:t>Th</w:t>
      </w:r>
      <w:r w:rsidR="006F73D0" w:rsidRPr="009975FF">
        <w:rPr>
          <w:lang w:val="en-US"/>
        </w:rPr>
        <w:t>eir</w:t>
      </w:r>
      <w:r w:rsidRPr="00491E15">
        <w:rPr>
          <w:lang w:val="en-US"/>
        </w:rPr>
        <w:t xml:space="preserve"> structure is built up of cationic X-shaped units self-assembled in a way allowing</w:t>
      </w:r>
      <w:r w:rsidR="00282C61">
        <w:rPr>
          <w:lang w:val="en-US"/>
        </w:rPr>
        <w:t xml:space="preserve"> the</w:t>
      </w:r>
      <w:r w:rsidRPr="00491E15">
        <w:rPr>
          <w:lang w:val="en-US"/>
        </w:rPr>
        <w:t xml:space="preserve"> formation of characteristic 1D channels occupied by solvent molecules</w:t>
      </w:r>
      <w:r w:rsidR="001B6A66">
        <w:rPr>
          <w:lang w:val="en-US"/>
        </w:rPr>
        <w:t xml:space="preserve"> (Fig.1a)</w:t>
      </w:r>
      <w:r w:rsidRPr="00491E15">
        <w:rPr>
          <w:lang w:val="en-US"/>
        </w:rPr>
        <w:t xml:space="preserve">. Desolvation of the system leads to </w:t>
      </w:r>
      <w:r w:rsidR="006F73D0" w:rsidRPr="009975FF">
        <w:rPr>
          <w:lang w:val="en-US"/>
        </w:rPr>
        <w:t>considerable</w:t>
      </w:r>
      <w:r w:rsidR="006F73D0">
        <w:rPr>
          <w:lang w:val="en-US"/>
        </w:rPr>
        <w:t xml:space="preserve"> </w:t>
      </w:r>
      <w:r w:rsidRPr="00491E15">
        <w:rPr>
          <w:lang w:val="en-US"/>
        </w:rPr>
        <w:t>reversible reorganization of its structure [</w:t>
      </w:r>
      <w:r>
        <w:rPr>
          <w:lang w:val="en-US"/>
        </w:rPr>
        <w:t>3-4</w:t>
      </w:r>
      <w:r w:rsidRPr="00491E15">
        <w:rPr>
          <w:lang w:val="en-US"/>
        </w:rPr>
        <w:t>].</w:t>
      </w:r>
      <w:r w:rsidR="00837233">
        <w:rPr>
          <w:lang w:val="en-US"/>
        </w:rPr>
        <w:t xml:space="preserve"> I</w:t>
      </w:r>
      <w:r w:rsidR="00837233" w:rsidRPr="00837233">
        <w:t xml:space="preserve">t turns out that </w:t>
      </w:r>
      <w:r w:rsidR="00282C61">
        <w:t xml:space="preserve">the </w:t>
      </w:r>
      <w:r w:rsidR="00837233" w:rsidRPr="00837233">
        <w:t xml:space="preserve">substitution of a halogen atom at the </w:t>
      </w:r>
      <w:r w:rsidR="00837233" w:rsidRPr="00837233">
        <w:rPr>
          <w:i/>
          <w:iCs/>
        </w:rPr>
        <w:t>para</w:t>
      </w:r>
      <w:r w:rsidR="00837233">
        <w:t>-</w:t>
      </w:r>
      <w:r w:rsidR="00837233" w:rsidRPr="00837233">
        <w:t xml:space="preserve"> position of </w:t>
      </w:r>
      <w:r w:rsidR="00837233">
        <w:t xml:space="preserve">the phenyl ring of </w:t>
      </w:r>
      <w:r w:rsidR="00837233" w:rsidRPr="00837233">
        <w:t>such Schiff bases is crucial for the formation of these characteristic architectures</w:t>
      </w:r>
      <w:r w:rsidR="00282C61">
        <w:t xml:space="preserve"> able to breathe</w:t>
      </w:r>
      <w:r w:rsidR="00837233" w:rsidRPr="00837233">
        <w:t xml:space="preserve">. </w:t>
      </w:r>
      <w:r w:rsidR="00282C61">
        <w:t>The i</w:t>
      </w:r>
      <w:r w:rsidR="00837233" w:rsidRPr="00837233">
        <w:t xml:space="preserve">ntroduction of an additional halogen atom at the </w:t>
      </w:r>
      <w:r w:rsidR="00837233" w:rsidRPr="00837233">
        <w:rPr>
          <w:i/>
          <w:iCs/>
        </w:rPr>
        <w:t>meta</w:t>
      </w:r>
      <w:r w:rsidR="00837233">
        <w:t>-</w:t>
      </w:r>
      <w:r w:rsidR="00837233" w:rsidRPr="00837233">
        <w:t xml:space="preserve"> position </w:t>
      </w:r>
      <w:r w:rsidR="00282C61">
        <w:t>promotes the</w:t>
      </w:r>
      <w:r w:rsidR="00837233" w:rsidRPr="00837233">
        <w:t xml:space="preserve"> </w:t>
      </w:r>
      <w:r w:rsidR="00282C61">
        <w:t xml:space="preserve">formation </w:t>
      </w:r>
      <w:r w:rsidR="00837233" w:rsidRPr="00837233">
        <w:t>of a one-dimensional coordination polymer</w:t>
      </w:r>
      <w:r w:rsidR="001B6A66">
        <w:t xml:space="preserve"> (Fig. 1b)</w:t>
      </w:r>
      <w:r w:rsidR="00837233">
        <w:t xml:space="preserve">. </w:t>
      </w:r>
      <w:r w:rsidR="00837233" w:rsidRPr="007E662C">
        <w:t>Changing the structural properties of such systems results in changes in their properties</w:t>
      </w:r>
      <w:r w:rsidR="00837233">
        <w:t xml:space="preserve">. </w:t>
      </w:r>
      <w:r w:rsidR="00837233" w:rsidRPr="003E5471">
        <w:t>The coordination polymer exhibits a very rare helicity, in which the metal ions are arranged in a helical pattern. Self-recognition of the neighbouring polymeric chains leads to the formation of one-dimensional channels occupied by solvent molecules, which can be easily removed by thermal treatment</w:t>
      </w:r>
      <w:r w:rsidR="00282C61">
        <w:t xml:space="preserve"> without violating the host framework</w:t>
      </w:r>
      <w:r w:rsidR="00837233" w:rsidRPr="003E5471">
        <w:t xml:space="preserve">, resulting in the formation of a porous material that reveals its ability to capture </w:t>
      </w:r>
      <w:r w:rsidR="00837233">
        <w:t>CO</w:t>
      </w:r>
      <w:r w:rsidR="00837233" w:rsidRPr="00837233">
        <w:rPr>
          <w:vertAlign w:val="subscript"/>
        </w:rPr>
        <w:t>2</w:t>
      </w:r>
      <w:r w:rsidR="00837233">
        <w:t xml:space="preserve"> and </w:t>
      </w:r>
      <w:r w:rsidR="00837233" w:rsidRPr="003E5471">
        <w:t xml:space="preserve">small organic </w:t>
      </w:r>
      <w:r w:rsidR="006F73D0" w:rsidRPr="009975FF">
        <w:t>molecules</w:t>
      </w:r>
      <w:r w:rsidR="00837233" w:rsidRPr="003E5471">
        <w:t>.</w:t>
      </w:r>
      <w:r w:rsidR="00837233">
        <w:t xml:space="preserve"> </w:t>
      </w:r>
      <w:r w:rsidR="000F296E">
        <w:t xml:space="preserve">The discussed </w:t>
      </w:r>
      <w:r w:rsidR="00837233" w:rsidRPr="00837233">
        <w:t xml:space="preserve">copper(I) coordination </w:t>
      </w:r>
      <w:r w:rsidR="000F296E">
        <w:t>polymers also</w:t>
      </w:r>
      <w:r w:rsidR="00837233" w:rsidRPr="00837233">
        <w:t xml:space="preserve"> </w:t>
      </w:r>
      <w:r w:rsidR="00F4021A">
        <w:t>exhibit deep-red</w:t>
      </w:r>
      <w:r w:rsidR="00837233" w:rsidRPr="00837233">
        <w:t xml:space="preserve"> emissio</w:t>
      </w:r>
      <w:r w:rsidR="00F4021A">
        <w:t xml:space="preserve">n at </w:t>
      </w:r>
      <w:r w:rsidR="00F4021A" w:rsidRPr="009975FF">
        <w:t>77</w:t>
      </w:r>
      <w:r w:rsidR="006F73D0" w:rsidRPr="009975FF">
        <w:t xml:space="preserve"> </w:t>
      </w:r>
      <w:r w:rsidR="00F4021A" w:rsidRPr="009975FF">
        <w:t>K</w:t>
      </w:r>
      <w:r w:rsidR="003D1A58" w:rsidRPr="009975FF">
        <w:t>,</w:t>
      </w:r>
      <w:r w:rsidR="000F296E">
        <w:t xml:space="preserve"> which is not so common for copper(I) compounds</w:t>
      </w:r>
      <w:r w:rsidR="00F4021A">
        <w:t xml:space="preserve">. </w:t>
      </w:r>
      <w:r w:rsidR="00612FD7">
        <w:t>On t</w:t>
      </w:r>
      <w:r w:rsidR="000F296E" w:rsidRPr="000F296E">
        <w:t>he poster</w:t>
      </w:r>
      <w:r w:rsidR="00612FD7">
        <w:t>,</w:t>
      </w:r>
      <w:r w:rsidR="000F296E" w:rsidRPr="000F296E">
        <w:t xml:space="preserve"> the structural</w:t>
      </w:r>
      <w:r w:rsidR="00612FD7">
        <w:t>,</w:t>
      </w:r>
      <w:r w:rsidR="000F296E" w:rsidRPr="000F296E">
        <w:t xml:space="preserve"> </w:t>
      </w:r>
      <w:r w:rsidR="00612FD7">
        <w:t xml:space="preserve">sorption and </w:t>
      </w:r>
      <w:r w:rsidR="000F296E" w:rsidRPr="000F296E">
        <w:t>spectroscopic properties of helical polymers built</w:t>
      </w:r>
      <w:r w:rsidR="00612FD7">
        <w:t xml:space="preserve"> up</w:t>
      </w:r>
      <w:r w:rsidR="000F296E" w:rsidRPr="000F296E">
        <w:t xml:space="preserve"> from copper</w:t>
      </w:r>
      <w:r w:rsidR="000F296E">
        <w:t>(I)</w:t>
      </w:r>
      <w:r w:rsidR="000F296E" w:rsidRPr="000F296E">
        <w:t xml:space="preserve"> salts and</w:t>
      </w:r>
      <w:r w:rsidR="000F296E">
        <w:t xml:space="preserve"> </w:t>
      </w:r>
      <w:r w:rsidR="000F296E" w:rsidRPr="00491E15">
        <w:rPr>
          <w:i/>
          <w:iCs/>
          <w:lang w:val="en-US"/>
        </w:rPr>
        <w:t>N</w:t>
      </w:r>
      <w:r w:rsidR="000F296E" w:rsidRPr="00491E15">
        <w:rPr>
          <w:lang w:val="en-US"/>
        </w:rPr>
        <w:t>-[(</w:t>
      </w:r>
      <w:r w:rsidR="000F296E" w:rsidRPr="00491E15">
        <w:rPr>
          <w:i/>
          <w:iCs/>
          <w:lang w:val="en-US"/>
        </w:rPr>
        <w:t>E</w:t>
      </w:r>
      <w:r w:rsidR="000F296E" w:rsidRPr="00491E15">
        <w:rPr>
          <w:lang w:val="en-US"/>
        </w:rPr>
        <w:t>)-(</w:t>
      </w:r>
      <w:r w:rsidR="000F296E">
        <w:rPr>
          <w:lang w:val="en-US"/>
        </w:rPr>
        <w:t>3,</w:t>
      </w:r>
      <w:r w:rsidR="000F296E" w:rsidRPr="00491E15">
        <w:rPr>
          <w:lang w:val="en-US"/>
        </w:rPr>
        <w:t>4-</w:t>
      </w:r>
      <w:r w:rsidR="000F296E">
        <w:rPr>
          <w:lang w:val="en-US"/>
        </w:rPr>
        <w:t>di</w:t>
      </w:r>
      <w:r w:rsidR="000F296E" w:rsidRPr="00491E15">
        <w:rPr>
          <w:lang w:val="en-US"/>
        </w:rPr>
        <w:t>chlorobenzylidene)-4</w:t>
      </w:r>
      <w:r w:rsidR="000F296E" w:rsidRPr="00491E15">
        <w:rPr>
          <w:i/>
          <w:iCs/>
          <w:lang w:val="en-US"/>
        </w:rPr>
        <w:t>H</w:t>
      </w:r>
      <w:r w:rsidR="000F296E" w:rsidRPr="00491E15">
        <w:rPr>
          <w:lang w:val="en-US"/>
        </w:rPr>
        <w:t>-1,2,4-triazol-4-amine</w:t>
      </w:r>
      <w:r w:rsidR="000F296E">
        <w:t xml:space="preserve"> (3</w:t>
      </w:r>
      <w:r w:rsidR="000F296E" w:rsidRPr="00491E15">
        <w:rPr>
          <w:lang w:val="en-US"/>
        </w:rPr>
        <w:t>4</w:t>
      </w:r>
      <w:r w:rsidR="000F296E">
        <w:rPr>
          <w:lang w:val="en-US"/>
        </w:rPr>
        <w:t>d</w:t>
      </w:r>
      <w:r w:rsidR="000F296E" w:rsidRPr="00491E15">
        <w:rPr>
          <w:lang w:val="en-US"/>
        </w:rPr>
        <w:t>ClPhtrz</w:t>
      </w:r>
      <w:r w:rsidR="000F296E">
        <w:rPr>
          <w:lang w:val="en-US"/>
        </w:rPr>
        <w:t>)</w:t>
      </w:r>
      <w:r w:rsidR="000F296E" w:rsidRPr="000F296E">
        <w:t xml:space="preserve"> ligand</w:t>
      </w:r>
      <w:r w:rsidR="00612FD7">
        <w:t xml:space="preserve"> will be presented.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
        <w:gridCol w:w="4113"/>
        <w:gridCol w:w="1382"/>
        <w:gridCol w:w="3988"/>
      </w:tblGrid>
      <w:tr w:rsidR="00612FD7" w14:paraId="58FA7C4A" w14:textId="77777777" w:rsidTr="00CD343C">
        <w:tc>
          <w:tcPr>
            <w:tcW w:w="1338" w:type="dxa"/>
            <w:vAlign w:val="center"/>
          </w:tcPr>
          <w:p w14:paraId="59563E44" w14:textId="01597E7A" w:rsidR="00DA5C8D" w:rsidRDefault="001B6A66" w:rsidP="000F296E">
            <w:pPr>
              <w:rPr>
                <w:lang w:val="en-US"/>
              </w:rPr>
            </w:pPr>
            <w:r>
              <w:object w:dxaOrig="1917" w:dyaOrig="2670" w14:anchorId="4C8DF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pt;height:69.85pt" o:ole="">
                  <v:imagedata r:id="rId7" o:title=""/>
                </v:shape>
                <o:OLEObject Type="Embed" ProgID="ChemDraw.Document.6.0" ShapeID="_x0000_i1025" DrawAspect="Content" ObjectID="_1808331360" r:id="rId8"/>
              </w:object>
            </w:r>
          </w:p>
        </w:tc>
        <w:tc>
          <w:tcPr>
            <w:tcW w:w="4194" w:type="dxa"/>
          </w:tcPr>
          <w:p w14:paraId="5C9F98A2" w14:textId="5660DA6B" w:rsidR="00DA5C8D" w:rsidRDefault="00CD343C" w:rsidP="00491E15">
            <w:pPr>
              <w:rPr>
                <w:lang w:val="en-US"/>
              </w:rPr>
            </w:pPr>
            <w:r>
              <w:rPr>
                <w:noProof/>
                <w:lang w:val="en-US"/>
              </w:rPr>
              <w:drawing>
                <wp:inline distT="0" distB="0" distL="0" distR="0" wp14:anchorId="6774C641" wp14:editId="1337BAA9">
                  <wp:extent cx="2257206" cy="2228850"/>
                  <wp:effectExtent l="0" t="0" r="0" b="0"/>
                  <wp:docPr id="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2404" cy="2233983"/>
                          </a:xfrm>
                          <a:prstGeom prst="rect">
                            <a:avLst/>
                          </a:prstGeom>
                          <a:noFill/>
                          <a:ln>
                            <a:noFill/>
                          </a:ln>
                        </pic:spPr>
                      </pic:pic>
                    </a:graphicData>
                  </a:graphic>
                </wp:inline>
              </w:drawing>
            </w:r>
          </w:p>
        </w:tc>
        <w:tc>
          <w:tcPr>
            <w:tcW w:w="1401" w:type="dxa"/>
            <w:vAlign w:val="center"/>
          </w:tcPr>
          <w:p w14:paraId="71AF6833" w14:textId="34901111" w:rsidR="00DA5C8D" w:rsidRDefault="001B6A66" w:rsidP="001B6A66">
            <w:pPr>
              <w:jc w:val="center"/>
              <w:rPr>
                <w:lang w:val="en-US"/>
              </w:rPr>
            </w:pPr>
            <w:r>
              <w:object w:dxaOrig="2309" w:dyaOrig="2671" w14:anchorId="5DE4F04E">
                <v:shape id="_x0000_i1026" type="#_x0000_t75" style="width:54.2pt;height:62.4pt" o:ole="">
                  <v:imagedata r:id="rId10" o:title=""/>
                </v:shape>
                <o:OLEObject Type="Embed" ProgID="ChemDraw.Document.6.0" ShapeID="_x0000_i1026" DrawAspect="Content" ObjectID="_1808331361" r:id="rId11"/>
              </w:object>
            </w:r>
          </w:p>
        </w:tc>
        <w:tc>
          <w:tcPr>
            <w:tcW w:w="4083" w:type="dxa"/>
          </w:tcPr>
          <w:p w14:paraId="713D5533" w14:textId="2CB35DEA" w:rsidR="00DA5C8D" w:rsidRDefault="00CD343C" w:rsidP="00491E15">
            <w:pPr>
              <w:rPr>
                <w:lang w:val="en-US"/>
              </w:rPr>
            </w:pPr>
            <w:r w:rsidRPr="00697FF8">
              <w:rPr>
                <w:noProof/>
              </w:rPr>
              <w:drawing>
                <wp:inline distT="0" distB="0" distL="0" distR="0" wp14:anchorId="4C418BB8" wp14:editId="50597704">
                  <wp:extent cx="2139950" cy="2134420"/>
                  <wp:effectExtent l="0" t="0" r="0" b="0"/>
                  <wp:docPr id="169" name="Picture 5" descr="A structure of balls and sphe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structure of balls and spheres&#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4928" cy="2139385"/>
                          </a:xfrm>
                          <a:prstGeom prst="rect">
                            <a:avLst/>
                          </a:prstGeom>
                          <a:noFill/>
                          <a:ln>
                            <a:noFill/>
                          </a:ln>
                        </pic:spPr>
                      </pic:pic>
                    </a:graphicData>
                  </a:graphic>
                </wp:inline>
              </w:drawing>
            </w:r>
          </w:p>
        </w:tc>
      </w:tr>
      <w:tr w:rsidR="00612FD7" w14:paraId="0126343D" w14:textId="77777777" w:rsidTr="00CD343C">
        <w:tc>
          <w:tcPr>
            <w:tcW w:w="1338" w:type="dxa"/>
            <w:vAlign w:val="center"/>
          </w:tcPr>
          <w:p w14:paraId="589D9B70" w14:textId="77777777" w:rsidR="001B6A66" w:rsidRDefault="001B6A66" w:rsidP="001B6A66">
            <w:pPr>
              <w:jc w:val="center"/>
            </w:pPr>
          </w:p>
        </w:tc>
        <w:tc>
          <w:tcPr>
            <w:tcW w:w="4194" w:type="dxa"/>
            <w:vAlign w:val="center"/>
          </w:tcPr>
          <w:p w14:paraId="3160F4D3" w14:textId="16197CA2" w:rsidR="001B6A66" w:rsidRPr="00612FD7" w:rsidRDefault="001B6A66" w:rsidP="001B6A66">
            <w:pPr>
              <w:jc w:val="center"/>
              <w:rPr>
                <w:b/>
                <w:bCs/>
                <w:sz w:val="18"/>
                <w:szCs w:val="18"/>
                <w:lang w:val="en-US"/>
              </w:rPr>
            </w:pPr>
            <w:r w:rsidRPr="00612FD7">
              <w:rPr>
                <w:b/>
                <w:bCs/>
                <w:sz w:val="18"/>
                <w:szCs w:val="18"/>
                <w:lang w:val="en-US"/>
              </w:rPr>
              <w:t>a)</w:t>
            </w:r>
          </w:p>
        </w:tc>
        <w:tc>
          <w:tcPr>
            <w:tcW w:w="1401" w:type="dxa"/>
            <w:vAlign w:val="center"/>
          </w:tcPr>
          <w:p w14:paraId="6F9D1406" w14:textId="77777777" w:rsidR="001B6A66" w:rsidRPr="00612FD7" w:rsidRDefault="001B6A66" w:rsidP="001B6A66">
            <w:pPr>
              <w:jc w:val="center"/>
              <w:rPr>
                <w:sz w:val="18"/>
                <w:szCs w:val="18"/>
              </w:rPr>
            </w:pPr>
          </w:p>
        </w:tc>
        <w:tc>
          <w:tcPr>
            <w:tcW w:w="4083" w:type="dxa"/>
            <w:vAlign w:val="center"/>
          </w:tcPr>
          <w:p w14:paraId="78160E0E" w14:textId="3351FE38" w:rsidR="001B6A66" w:rsidRPr="00612FD7" w:rsidRDefault="001B6A66" w:rsidP="001B6A66">
            <w:pPr>
              <w:jc w:val="center"/>
              <w:rPr>
                <w:b/>
                <w:bCs/>
                <w:noProof/>
                <w:sz w:val="18"/>
                <w:szCs w:val="18"/>
              </w:rPr>
            </w:pPr>
            <w:r w:rsidRPr="00612FD7">
              <w:rPr>
                <w:b/>
                <w:bCs/>
                <w:noProof/>
                <w:sz w:val="18"/>
                <w:szCs w:val="18"/>
              </w:rPr>
              <w:t>b)</w:t>
            </w:r>
          </w:p>
        </w:tc>
      </w:tr>
    </w:tbl>
    <w:p w14:paraId="27E55278" w14:textId="61A95106" w:rsidR="00CD343C" w:rsidRPr="00CD343C" w:rsidRDefault="00CD343C" w:rsidP="00CD343C">
      <w:pPr>
        <w:jc w:val="center"/>
      </w:pPr>
      <w:r>
        <w:rPr>
          <w:noProof/>
        </w:rPr>
        <mc:AlternateContent>
          <mc:Choice Requires="wps">
            <w:drawing>
              <wp:anchor distT="0" distB="0" distL="114300" distR="114300" simplePos="0" relativeHeight="251659264" behindDoc="0" locked="0" layoutInCell="1" allowOverlap="1" wp14:anchorId="239981D7" wp14:editId="439F65D4">
                <wp:simplePos x="0" y="0"/>
                <wp:positionH relativeFrom="column">
                  <wp:posOffset>0</wp:posOffset>
                </wp:positionH>
                <wp:positionV relativeFrom="paragraph">
                  <wp:posOffset>0</wp:posOffset>
                </wp:positionV>
                <wp:extent cx="635000" cy="635000"/>
                <wp:effectExtent l="0" t="0" r="3175" b="3175"/>
                <wp:wrapNone/>
                <wp:docPr id="510885528"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C08E3" id="_x0000_tole_rId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b/>
        </w:rPr>
        <w:t>Figure 1</w:t>
      </w:r>
      <w:r>
        <w:t xml:space="preserve">. </w:t>
      </w:r>
      <w:r w:rsidRPr="00C672F4">
        <w:rPr>
          <w:b/>
          <w:bCs/>
        </w:rPr>
        <w:t>a)</w:t>
      </w:r>
      <w:r w:rsidR="00F77E37">
        <w:t xml:space="preserve"> D</w:t>
      </w:r>
      <w:r>
        <w:t xml:space="preserve">iscrete copper(I) coordination system built up from </w:t>
      </w:r>
      <w:proofErr w:type="spellStart"/>
      <w:r>
        <w:t>monoh</w:t>
      </w:r>
      <w:r w:rsidRPr="009975FF">
        <w:t>alog</w:t>
      </w:r>
      <w:r w:rsidR="006F73D0" w:rsidRPr="009975FF">
        <w:t>e</w:t>
      </w:r>
      <w:r w:rsidRPr="009975FF">
        <w:t>n</w:t>
      </w:r>
      <w:r w:rsidR="006F73D0" w:rsidRPr="009975FF">
        <w:t>a</w:t>
      </w:r>
      <w:r w:rsidRPr="009975FF">
        <w:t>te</w:t>
      </w:r>
      <w:r>
        <w:t>d</w:t>
      </w:r>
      <w:proofErr w:type="spellEnd"/>
      <w:r>
        <w:t xml:space="preserve"> triazole Shiff base;  </w:t>
      </w:r>
      <w:r w:rsidRPr="009975FF">
        <w:rPr>
          <w:b/>
          <w:bCs/>
        </w:rPr>
        <w:t>b)</w:t>
      </w:r>
      <w:r>
        <w:t xml:space="preserve"> the copper(I)</w:t>
      </w:r>
      <w:r w:rsidRPr="007E662C">
        <w:t xml:space="preserve"> </w:t>
      </w:r>
      <w:r>
        <w:t xml:space="preserve">helical one-dimensional polymer built up from </w:t>
      </w:r>
      <w:proofErr w:type="spellStart"/>
      <w:r>
        <w:t>dihalo</w:t>
      </w:r>
      <w:r w:rsidRPr="009975FF">
        <w:t>g</w:t>
      </w:r>
      <w:r w:rsidR="006F73D0" w:rsidRPr="009975FF">
        <w:t>e</w:t>
      </w:r>
      <w:r w:rsidRPr="009975FF">
        <w:t>n</w:t>
      </w:r>
      <w:r w:rsidR="006F73D0" w:rsidRPr="009975FF">
        <w:t>a</w:t>
      </w:r>
      <w:r w:rsidRPr="009975FF">
        <w:t>te</w:t>
      </w:r>
      <w:r>
        <w:t>d</w:t>
      </w:r>
      <w:proofErr w:type="spellEnd"/>
      <w:r>
        <w:t xml:space="preserve"> triazole Shiff base. [A – anion (CF</w:t>
      </w:r>
      <w:r w:rsidRPr="00CD343C">
        <w:rPr>
          <w:vertAlign w:val="subscript"/>
        </w:rPr>
        <w:t>3</w:t>
      </w:r>
      <w:r>
        <w:t>SO</w:t>
      </w:r>
      <w:r w:rsidRPr="00CD343C">
        <w:rPr>
          <w:vertAlign w:val="subscript"/>
        </w:rPr>
        <w:t>3</w:t>
      </w:r>
      <w:r>
        <w:t>, ClO</w:t>
      </w:r>
      <w:r w:rsidRPr="00CD343C">
        <w:rPr>
          <w:vertAlign w:val="subscript"/>
        </w:rPr>
        <w:t>4</w:t>
      </w:r>
      <w:r>
        <w:t>, BF</w:t>
      </w:r>
      <w:r w:rsidRPr="00CD343C">
        <w:rPr>
          <w:vertAlign w:val="subscript"/>
        </w:rPr>
        <w:t>4</w:t>
      </w:r>
      <w:r>
        <w:t>)]</w:t>
      </w:r>
      <w:r w:rsidR="003D1A58">
        <w:t>.</w:t>
      </w:r>
    </w:p>
    <w:p w14:paraId="7392FD99" w14:textId="1AF4441A" w:rsidR="007F6411" w:rsidRPr="00807835" w:rsidRDefault="007F6411" w:rsidP="007F6411">
      <w:pPr>
        <w:rPr>
          <w:sz w:val="18"/>
          <w:szCs w:val="18"/>
          <w:lang w:val="en-US" w:eastAsia="cs-CZ"/>
        </w:rPr>
      </w:pPr>
      <w:r w:rsidRPr="00807835">
        <w:rPr>
          <w:sz w:val="18"/>
          <w:szCs w:val="18"/>
          <w:lang w:val="en-US" w:eastAsia="cs-CZ"/>
        </w:rPr>
        <w:t xml:space="preserve">[1] Steed, J. </w:t>
      </w:r>
      <w:r w:rsidR="00CA7D4D" w:rsidRPr="00807835">
        <w:rPr>
          <w:sz w:val="18"/>
          <w:szCs w:val="18"/>
          <w:lang w:val="en-US" w:eastAsia="cs-CZ"/>
        </w:rPr>
        <w:t>W</w:t>
      </w:r>
      <w:r w:rsidRPr="00807835">
        <w:rPr>
          <w:sz w:val="18"/>
          <w:szCs w:val="18"/>
          <w:lang w:val="en-US" w:eastAsia="cs-CZ"/>
        </w:rPr>
        <w:t xml:space="preserve">. &amp; Atwood, J. </w:t>
      </w:r>
      <w:r w:rsidR="00CA7D4D" w:rsidRPr="00807835">
        <w:rPr>
          <w:sz w:val="18"/>
          <w:szCs w:val="18"/>
          <w:lang w:val="en-US" w:eastAsia="cs-CZ"/>
        </w:rPr>
        <w:t>L</w:t>
      </w:r>
      <w:r w:rsidRPr="00807835">
        <w:rPr>
          <w:sz w:val="18"/>
          <w:szCs w:val="18"/>
          <w:lang w:val="en-US" w:eastAsia="cs-CZ"/>
        </w:rPr>
        <w:t>. (2022)</w:t>
      </w:r>
      <w:r w:rsidR="00491E15" w:rsidRPr="00807835">
        <w:rPr>
          <w:sz w:val="18"/>
          <w:szCs w:val="18"/>
          <w:lang w:val="en-US" w:eastAsia="cs-CZ"/>
        </w:rPr>
        <w:t>.</w:t>
      </w:r>
      <w:r w:rsidRPr="00807835">
        <w:rPr>
          <w:sz w:val="18"/>
          <w:szCs w:val="18"/>
          <w:lang w:val="en-US" w:eastAsia="cs-CZ"/>
        </w:rPr>
        <w:t xml:space="preserve"> </w:t>
      </w:r>
      <w:r w:rsidRPr="00807835">
        <w:rPr>
          <w:i/>
          <w:iCs/>
          <w:sz w:val="18"/>
          <w:szCs w:val="18"/>
          <w:lang w:val="en-US" w:eastAsia="cs-CZ"/>
        </w:rPr>
        <w:t>Supramolecular Chemistry</w:t>
      </w:r>
      <w:r w:rsidRPr="00807835">
        <w:rPr>
          <w:sz w:val="18"/>
          <w:szCs w:val="18"/>
          <w:lang w:val="en-US" w:eastAsia="cs-CZ"/>
        </w:rPr>
        <w:t xml:space="preserve">, </w:t>
      </w:r>
      <w:r w:rsidR="00491E15" w:rsidRPr="00807835">
        <w:rPr>
          <w:sz w:val="18"/>
          <w:szCs w:val="18"/>
          <w:lang w:val="en-US" w:eastAsia="cs-CZ"/>
        </w:rPr>
        <w:t>pp. 537</w:t>
      </w:r>
      <w:r w:rsidR="00CA7D4D" w:rsidRPr="00807835">
        <w:rPr>
          <w:sz w:val="18"/>
          <w:szCs w:val="18"/>
          <w:lang w:val="en-US" w:eastAsia="cs-CZ"/>
        </w:rPr>
        <w:t>. John</w:t>
      </w:r>
      <w:r w:rsidR="00491E15" w:rsidRPr="00807835">
        <w:rPr>
          <w:sz w:val="18"/>
          <w:szCs w:val="18"/>
          <w:lang w:val="en-US" w:eastAsia="cs-CZ"/>
        </w:rPr>
        <w:t xml:space="preserve"> </w:t>
      </w:r>
      <w:r w:rsidRPr="00807835">
        <w:rPr>
          <w:sz w:val="18"/>
          <w:szCs w:val="18"/>
          <w:lang w:val="en-US" w:eastAsia="cs-CZ"/>
        </w:rPr>
        <w:t>Wiley</w:t>
      </w:r>
      <w:r w:rsidR="00CA7D4D" w:rsidRPr="00807835">
        <w:rPr>
          <w:sz w:val="18"/>
          <w:szCs w:val="18"/>
          <w:lang w:val="en-US" w:eastAsia="cs-CZ"/>
        </w:rPr>
        <w:t xml:space="preserve"> &amp; Sons</w:t>
      </w:r>
      <w:r w:rsidRPr="00807835">
        <w:rPr>
          <w:sz w:val="18"/>
          <w:szCs w:val="18"/>
          <w:lang w:val="en-US" w:eastAsia="cs-CZ"/>
        </w:rPr>
        <w:t>.</w:t>
      </w:r>
    </w:p>
    <w:p w14:paraId="56D513CD" w14:textId="529BCB8F" w:rsidR="007F6411" w:rsidRPr="003D1A58" w:rsidRDefault="007F6411">
      <w:pPr>
        <w:rPr>
          <w:sz w:val="18"/>
          <w:szCs w:val="18"/>
          <w:lang w:val="pl-PL" w:eastAsia="cs-CZ"/>
        </w:rPr>
      </w:pPr>
      <w:r w:rsidRPr="00807835">
        <w:rPr>
          <w:sz w:val="18"/>
          <w:szCs w:val="18"/>
          <w:lang w:val="en-US" w:eastAsia="cs-CZ"/>
        </w:rPr>
        <w:t>[2] Cram,</w:t>
      </w:r>
      <w:r w:rsidR="00491E15" w:rsidRPr="00807835">
        <w:rPr>
          <w:sz w:val="18"/>
          <w:szCs w:val="18"/>
          <w:lang w:val="en-US" w:eastAsia="cs-CZ"/>
        </w:rPr>
        <w:t xml:space="preserve"> D. J.</w:t>
      </w:r>
      <w:r w:rsidRPr="00807835">
        <w:rPr>
          <w:sz w:val="18"/>
          <w:szCs w:val="18"/>
          <w:lang w:val="en-US" w:eastAsia="cs-CZ"/>
        </w:rPr>
        <w:t xml:space="preserve"> </w:t>
      </w:r>
      <w:r w:rsidR="00491E15" w:rsidRPr="00807835">
        <w:rPr>
          <w:sz w:val="18"/>
          <w:szCs w:val="18"/>
          <w:lang w:val="en-US" w:eastAsia="cs-CZ"/>
        </w:rPr>
        <w:t>&amp;</w:t>
      </w:r>
      <w:r w:rsidRPr="00807835">
        <w:rPr>
          <w:sz w:val="18"/>
          <w:szCs w:val="18"/>
          <w:lang w:val="en-US" w:eastAsia="cs-CZ"/>
        </w:rPr>
        <w:t xml:space="preserve"> Cram,</w:t>
      </w:r>
      <w:r w:rsidR="00491E15" w:rsidRPr="00807835">
        <w:rPr>
          <w:sz w:val="18"/>
          <w:szCs w:val="18"/>
          <w:lang w:val="en-US" w:eastAsia="cs-CZ"/>
        </w:rPr>
        <w:t xml:space="preserve"> J. M.</w:t>
      </w:r>
      <w:r w:rsidR="00F77E37">
        <w:rPr>
          <w:sz w:val="18"/>
          <w:szCs w:val="18"/>
          <w:lang w:val="en-US" w:eastAsia="cs-CZ"/>
        </w:rPr>
        <w:t xml:space="preserve"> (1997)</w:t>
      </w:r>
      <w:r w:rsidRPr="00807835">
        <w:rPr>
          <w:sz w:val="18"/>
          <w:szCs w:val="18"/>
          <w:lang w:val="en-US" w:eastAsia="cs-CZ"/>
        </w:rPr>
        <w:t xml:space="preserve"> </w:t>
      </w:r>
      <w:r w:rsidR="00F77E37" w:rsidRPr="00F77E37">
        <w:rPr>
          <w:i/>
          <w:iCs/>
          <w:sz w:val="18"/>
          <w:szCs w:val="18"/>
          <w:lang w:val="en-US" w:eastAsia="cs-CZ"/>
        </w:rPr>
        <w:t>Container molecules and their guests</w:t>
      </w:r>
      <w:r w:rsidR="00F77E37">
        <w:rPr>
          <w:sz w:val="18"/>
          <w:szCs w:val="18"/>
          <w:lang w:val="en-US" w:eastAsia="cs-CZ"/>
        </w:rPr>
        <w:t>,</w:t>
      </w:r>
      <w:r w:rsidR="000F296E">
        <w:rPr>
          <w:sz w:val="18"/>
          <w:szCs w:val="18"/>
          <w:lang w:val="en-US" w:eastAsia="cs-CZ"/>
        </w:rPr>
        <w:t xml:space="preserve"> pp.1-12.</w:t>
      </w:r>
      <w:r w:rsidR="00F77E37">
        <w:rPr>
          <w:sz w:val="18"/>
          <w:szCs w:val="18"/>
          <w:lang w:val="en-US" w:eastAsia="cs-CZ"/>
        </w:rPr>
        <w:t xml:space="preserve"> </w:t>
      </w:r>
      <w:r w:rsidRPr="003D1A58">
        <w:rPr>
          <w:sz w:val="18"/>
          <w:szCs w:val="18"/>
          <w:lang w:val="pl-PL" w:eastAsia="cs-CZ"/>
        </w:rPr>
        <w:t xml:space="preserve">R. </w:t>
      </w:r>
      <w:proofErr w:type="spellStart"/>
      <w:r w:rsidRPr="003D1A58">
        <w:rPr>
          <w:sz w:val="18"/>
          <w:szCs w:val="18"/>
          <w:lang w:val="pl-PL" w:eastAsia="cs-CZ"/>
        </w:rPr>
        <w:t>Soc</w:t>
      </w:r>
      <w:proofErr w:type="spellEnd"/>
      <w:r w:rsidRPr="003D1A58">
        <w:rPr>
          <w:sz w:val="18"/>
          <w:szCs w:val="18"/>
          <w:lang w:val="pl-PL" w:eastAsia="cs-CZ"/>
        </w:rPr>
        <w:t>. Chem</w:t>
      </w:r>
      <w:r w:rsidR="00491E15" w:rsidRPr="003D1A58">
        <w:rPr>
          <w:sz w:val="18"/>
          <w:szCs w:val="18"/>
          <w:lang w:val="pl-PL" w:eastAsia="cs-CZ"/>
        </w:rPr>
        <w:t>.</w:t>
      </w:r>
    </w:p>
    <w:p w14:paraId="55C779FF" w14:textId="4BACD1F4" w:rsidR="00491E15" w:rsidRPr="00807835" w:rsidRDefault="00491E15">
      <w:pPr>
        <w:rPr>
          <w:sz w:val="18"/>
          <w:szCs w:val="18"/>
          <w:lang w:val="pl-PL" w:eastAsia="cs-CZ"/>
        </w:rPr>
      </w:pPr>
      <w:r w:rsidRPr="00807835">
        <w:rPr>
          <w:sz w:val="18"/>
          <w:szCs w:val="18"/>
          <w:lang w:val="pl-PL" w:eastAsia="cs-CZ"/>
        </w:rPr>
        <w:t xml:space="preserve">[3] Białońska, A., </w:t>
      </w:r>
      <w:proofErr w:type="spellStart"/>
      <w:r w:rsidRPr="00807835">
        <w:rPr>
          <w:sz w:val="18"/>
          <w:szCs w:val="18"/>
          <w:lang w:val="pl-PL" w:eastAsia="cs-CZ"/>
        </w:rPr>
        <w:t>Drabent</w:t>
      </w:r>
      <w:proofErr w:type="spellEnd"/>
      <w:r w:rsidRPr="00807835">
        <w:rPr>
          <w:sz w:val="18"/>
          <w:szCs w:val="18"/>
          <w:lang w:val="pl-PL" w:eastAsia="cs-CZ"/>
        </w:rPr>
        <w:t xml:space="preserve">, K., Filipowicz &amp; Siczek, M. </w:t>
      </w:r>
      <w:r w:rsidR="00CE1C09" w:rsidRPr="00807835">
        <w:rPr>
          <w:sz w:val="18"/>
          <w:szCs w:val="18"/>
          <w:lang w:val="pl-PL" w:eastAsia="cs-CZ"/>
        </w:rPr>
        <w:t xml:space="preserve">(2013). </w:t>
      </w:r>
      <w:r w:rsidR="00CE1C09" w:rsidRPr="00807835">
        <w:rPr>
          <w:i/>
          <w:iCs/>
          <w:sz w:val="18"/>
          <w:szCs w:val="18"/>
          <w:lang w:val="pl-PL" w:eastAsia="cs-CZ"/>
        </w:rPr>
        <w:t>CrystEngComm</w:t>
      </w:r>
      <w:r w:rsidR="00CE1C09" w:rsidRPr="00807835">
        <w:rPr>
          <w:sz w:val="18"/>
          <w:szCs w:val="18"/>
          <w:lang w:val="pl-PL" w:eastAsia="cs-CZ"/>
        </w:rPr>
        <w:t xml:space="preserve">, </w:t>
      </w:r>
      <w:r w:rsidR="00CE1C09" w:rsidRPr="00807835">
        <w:rPr>
          <w:b/>
          <w:bCs/>
          <w:sz w:val="18"/>
          <w:szCs w:val="18"/>
          <w:lang w:val="pl-PL" w:eastAsia="cs-CZ"/>
        </w:rPr>
        <w:t>15</w:t>
      </w:r>
      <w:r w:rsidR="00CE1C09" w:rsidRPr="00807835">
        <w:rPr>
          <w:sz w:val="18"/>
          <w:szCs w:val="18"/>
          <w:lang w:val="pl-PL" w:eastAsia="cs-CZ"/>
        </w:rPr>
        <w:t>, 9859.</w:t>
      </w:r>
    </w:p>
    <w:p w14:paraId="3EF08EC0" w14:textId="7449BF4E" w:rsidR="00A11D07" w:rsidRPr="00807835" w:rsidRDefault="00CE1C09" w:rsidP="00CA7D4D">
      <w:pPr>
        <w:rPr>
          <w:i/>
          <w:iCs/>
          <w:sz w:val="18"/>
          <w:szCs w:val="18"/>
          <w:lang w:val="de-AT" w:eastAsia="cs-CZ"/>
        </w:rPr>
      </w:pPr>
      <w:r w:rsidRPr="003D1A58">
        <w:rPr>
          <w:sz w:val="18"/>
          <w:szCs w:val="18"/>
          <w:lang w:val="pl-PL" w:eastAsia="cs-CZ"/>
        </w:rPr>
        <w:t>[4] Ganczar, E</w:t>
      </w:r>
      <w:r w:rsidR="009975FF">
        <w:rPr>
          <w:sz w:val="18"/>
          <w:szCs w:val="18"/>
          <w:lang w:val="pl-PL" w:eastAsia="cs-CZ"/>
        </w:rPr>
        <w:t>.</w:t>
      </w:r>
      <w:r w:rsidRPr="003D1A58">
        <w:rPr>
          <w:sz w:val="18"/>
          <w:szCs w:val="18"/>
          <w:lang w:val="pl-PL" w:eastAsia="cs-CZ"/>
        </w:rPr>
        <w:t xml:space="preserve"> &amp; Białońska, A. (202</w:t>
      </w:r>
      <w:r w:rsidR="00CA7D4D" w:rsidRPr="003D1A58">
        <w:rPr>
          <w:sz w:val="18"/>
          <w:szCs w:val="18"/>
          <w:lang w:val="pl-PL" w:eastAsia="cs-CZ"/>
        </w:rPr>
        <w:t>3</w:t>
      </w:r>
      <w:r w:rsidRPr="003D1A58">
        <w:rPr>
          <w:sz w:val="18"/>
          <w:szCs w:val="18"/>
          <w:lang w:val="pl-PL" w:eastAsia="cs-CZ"/>
        </w:rPr>
        <w:t>).</w:t>
      </w:r>
      <w:r w:rsidR="00CA7D4D" w:rsidRPr="003D1A58">
        <w:rPr>
          <w:sz w:val="18"/>
          <w:szCs w:val="18"/>
          <w:lang w:val="pl-PL" w:eastAsia="cs-CZ"/>
        </w:rPr>
        <w:t xml:space="preserve"> </w:t>
      </w:r>
      <w:r w:rsidR="00CA7D4D" w:rsidRPr="003D1A58">
        <w:rPr>
          <w:i/>
          <w:iCs/>
          <w:sz w:val="18"/>
          <w:szCs w:val="18"/>
          <w:lang w:val="pl-PL" w:eastAsia="cs-CZ"/>
        </w:rPr>
        <w:t xml:space="preserve">Acta </w:t>
      </w:r>
      <w:proofErr w:type="spellStart"/>
      <w:r w:rsidR="00CA7D4D" w:rsidRPr="003D1A58">
        <w:rPr>
          <w:i/>
          <w:iCs/>
          <w:sz w:val="18"/>
          <w:szCs w:val="18"/>
          <w:lang w:val="pl-PL" w:eastAsia="cs-CZ"/>
        </w:rPr>
        <w:t>Cryst</w:t>
      </w:r>
      <w:proofErr w:type="spellEnd"/>
      <w:r w:rsidR="00CA7D4D" w:rsidRPr="003D1A58">
        <w:rPr>
          <w:i/>
          <w:iCs/>
          <w:sz w:val="18"/>
          <w:szCs w:val="18"/>
          <w:lang w:val="pl-PL" w:eastAsia="cs-CZ"/>
        </w:rPr>
        <w:t xml:space="preserve">. </w:t>
      </w:r>
      <w:r w:rsidR="00CA7D4D" w:rsidRPr="00807835">
        <w:rPr>
          <w:b/>
          <w:bCs/>
          <w:sz w:val="18"/>
          <w:szCs w:val="18"/>
          <w:lang w:val="de-AT" w:eastAsia="cs-CZ"/>
        </w:rPr>
        <w:t>B79</w:t>
      </w:r>
      <w:r w:rsidR="00CA7D4D" w:rsidRPr="00807835">
        <w:rPr>
          <w:sz w:val="18"/>
          <w:szCs w:val="18"/>
          <w:lang w:val="de-AT" w:eastAsia="cs-CZ"/>
        </w:rPr>
        <w:t>, 392.</w:t>
      </w:r>
      <w:r w:rsidRPr="00807835">
        <w:rPr>
          <w:i/>
          <w:iCs/>
          <w:sz w:val="18"/>
          <w:szCs w:val="18"/>
          <w:lang w:val="de-AT" w:eastAsia="cs-CZ"/>
        </w:rPr>
        <w:t xml:space="preserve"> </w:t>
      </w:r>
    </w:p>
    <w:sectPr w:rsidR="00A11D07" w:rsidRPr="00807835">
      <w:headerReference w:type="default" r:id="rId13"/>
      <w:footerReference w:type="default" r:id="rId14"/>
      <w:pgSz w:w="12240" w:h="15840"/>
      <w:pgMar w:top="765" w:right="720" w:bottom="765" w:left="720" w:header="708" w:footer="708" w:gutter="0"/>
      <w:cols w:space="708"/>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453B9" w14:textId="77777777" w:rsidR="00EE6D02" w:rsidRDefault="00EE6D02">
      <w:pPr>
        <w:spacing w:after="0"/>
      </w:pPr>
      <w:r>
        <w:separator/>
      </w:r>
    </w:p>
  </w:endnote>
  <w:endnote w:type="continuationSeparator" w:id="0">
    <w:p w14:paraId="7E555891" w14:textId="77777777" w:rsidR="00EE6D02" w:rsidRDefault="00EE6D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Meiryo"/>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4A87C" w14:textId="77777777" w:rsidR="00A11D07" w:rsidRDefault="00000000">
    <w:pPr>
      <w:pStyle w:val="Footer"/>
    </w:pPr>
    <w:r>
      <w:t xml:space="preserve">Acta </w:t>
    </w:r>
    <w:proofErr w:type="spellStart"/>
    <w:r>
      <w:t>Cryst</w:t>
    </w:r>
    <w:proofErr w:type="spellEnd"/>
    <w:r>
      <w:t>. (2025). A81, e1</w:t>
    </w:r>
  </w:p>
  <w:p w14:paraId="1E606907" w14:textId="77777777" w:rsidR="00A11D07" w:rsidRDefault="00A11D07">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CA1EC" w14:textId="77777777" w:rsidR="00EE6D02" w:rsidRDefault="00EE6D02">
      <w:pPr>
        <w:spacing w:after="0"/>
      </w:pPr>
      <w:r>
        <w:separator/>
      </w:r>
    </w:p>
  </w:footnote>
  <w:footnote w:type="continuationSeparator" w:id="0">
    <w:p w14:paraId="13FC4137" w14:textId="77777777" w:rsidR="00EE6D02" w:rsidRDefault="00EE6D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E48E2" w14:textId="77777777" w:rsidR="00A11D07" w:rsidRDefault="00000000">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D07"/>
    <w:rsid w:val="000F296E"/>
    <w:rsid w:val="001B6A66"/>
    <w:rsid w:val="00282C61"/>
    <w:rsid w:val="003D1A58"/>
    <w:rsid w:val="00491272"/>
    <w:rsid w:val="00491E15"/>
    <w:rsid w:val="00612FD7"/>
    <w:rsid w:val="00690F70"/>
    <w:rsid w:val="006C3B11"/>
    <w:rsid w:val="006F6C4E"/>
    <w:rsid w:val="006F73D0"/>
    <w:rsid w:val="00745323"/>
    <w:rsid w:val="007F6411"/>
    <w:rsid w:val="00807835"/>
    <w:rsid w:val="00837233"/>
    <w:rsid w:val="009975FF"/>
    <w:rsid w:val="009F7A0D"/>
    <w:rsid w:val="00A11D07"/>
    <w:rsid w:val="00C672F4"/>
    <w:rsid w:val="00CA6F36"/>
    <w:rsid w:val="00CA7D4D"/>
    <w:rsid w:val="00CD343C"/>
    <w:rsid w:val="00CE1C09"/>
    <w:rsid w:val="00D760DD"/>
    <w:rsid w:val="00D92F22"/>
    <w:rsid w:val="00DA5C8D"/>
    <w:rsid w:val="00EE6D02"/>
    <w:rsid w:val="00F4021A"/>
    <w:rsid w:val="00F77E3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F0FC3"/>
  <w15:docId w15:val="{AD0457ED-B181-4A63-B8E5-0B712EA01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7F6411"/>
    <w:pPr>
      <w:spacing w:line="480" w:lineRule="auto"/>
    </w:pPr>
  </w:style>
  <w:style w:type="character" w:customStyle="1" w:styleId="BodyText2Char">
    <w:name w:val="Body Text 2 Char"/>
    <w:basedOn w:val="DefaultParagraphFont"/>
    <w:link w:val="BodyText2"/>
    <w:uiPriority w:val="99"/>
    <w:rsid w:val="007F6411"/>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534</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Emilia Ganczar</cp:lastModifiedBy>
  <cp:revision>2</cp:revision>
  <dcterms:created xsi:type="dcterms:W3CDTF">2025-05-09T19:29:00Z</dcterms:created>
  <dcterms:modified xsi:type="dcterms:W3CDTF">2025-05-09T19:29:00Z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