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media/image1.png" ContentType="image/png"/>
  <Override PartName="/word/media/image2.png" ContentType="image/png"/>
  <Override PartName="/word/media/image3.jpeg" ContentType="image/jpeg"/>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settings.xml" ContentType="application/vnd.openxmlformats-officedocument.wordprocessingml.settings+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Heading1"/>
        <w:keepNext w:val="true"/>
        <w:spacing w:before="240" w:after="60"/>
        <w:jc w:val="center"/>
        <w:rPr/>
      </w:pPr>
      <w:r>
        <w:rPr/>
        <w:t xml:space="preserve">Modulation and modularity in natural and synthetic sulfosalts </w:t>
      </w:r>
    </w:p>
    <w:p>
      <w:pPr>
        <w:pStyle w:val="Heading2"/>
        <w:rPr/>
      </w:pPr>
      <w:r>
        <w:rPr/>
        <w:t>B. Stöger</w:t>
      </w:r>
      <w:r>
        <w:rPr>
          <w:vertAlign w:val="superscript"/>
        </w:rPr>
        <w:t>1</w:t>
      </w:r>
    </w:p>
    <w:p>
      <w:pPr>
        <w:pStyle w:val="Heading3"/>
        <w:rPr/>
      </w:pPr>
      <w:r>
        <w:rPr>
          <w:vertAlign w:val="superscript"/>
        </w:rPr>
        <w:t>1</w:t>
      </w:r>
      <w:r>
        <w:rPr/>
        <w:t>X-ray Center, TU Wien, Geitreidemarkt 9, 1060 Vienna, Austria</w:t>
      </w:r>
    </w:p>
    <w:p>
      <w:pPr>
        <w:pStyle w:val="Heading3"/>
        <w:rPr>
          <w:sz w:val="18"/>
          <w:szCs w:val="18"/>
        </w:rPr>
      </w:pPr>
      <w:r>
        <w:rPr/>
        <w:t>bstoeger@mail.tuwien.ac.at</w:t>
      </w:r>
      <w:r>
        <w:rPr>
          <w:lang w:eastAsia="de-DE"/>
        </w:rPr>
        <w:br/>
      </w:r>
    </w:p>
    <w:p>
      <w:pPr>
        <w:pStyle w:val="Normal"/>
        <w:rPr/>
      </w:pPr>
      <w:r>
        <w:rPr/>
        <w:t>The sulfosalt group is a chemically heterogeneous family of sulfide (S</w:t>
      </w:r>
      <w:r>
        <w:rPr>
          <w:vertAlign w:val="superscript"/>
        </w:rPr>
        <w:t>2-</w:t>
      </w:r>
      <w:r>
        <w:rPr/>
        <w:t>) or, more rarely, selenide (Se</w:t>
      </w:r>
      <w:r>
        <w:rPr>
          <w:vertAlign w:val="superscript"/>
        </w:rPr>
        <w:t>2-</w:t>
      </w:r>
      <w:r>
        <w:rPr/>
        <w:t>) or telluride (Te</w:t>
      </w:r>
      <w:r>
        <w:rPr>
          <w:vertAlign w:val="superscript"/>
        </w:rPr>
        <w:t>2-</w:t>
      </w:r>
      <w:r>
        <w:rPr/>
        <w:t>) minerals</w:t>
      </w:r>
      <w:r>
        <w:rPr>
          <w:lang w:eastAsia="cs-CZ"/>
        </w:rPr>
        <w:t xml:space="preserve"> [1]. Sulfosalts stand out for their </w:t>
      </w:r>
      <w:r>
        <w:rPr>
          <w:i/>
          <w:iCs/>
          <w:lang w:eastAsia="cs-CZ"/>
        </w:rPr>
        <w:t>modular</w:t>
      </w:r>
      <w:r>
        <w:rPr>
          <w:lang w:eastAsia="cs-CZ"/>
        </w:rPr>
        <w:t xml:space="preserve"> character. Most sulfosalts can be derived from sheets or rods of PbS- (NaCl type) or SnS-like structures combined in various ways, leading to a surprisingly complex crystal chemistry and crystalliztion behavior. Many sulfosalts form domain structures, either by twinning or intergrowths of related structures. At the domain boundary are located modules shared by the adjacent domains. The symmetry of modular structures is described by </w:t>
      </w:r>
      <w:r>
        <w:rPr>
          <w:i/>
          <w:iCs/>
          <w:lang w:eastAsia="cs-CZ"/>
        </w:rPr>
        <w:t>space groupoids</w:t>
      </w:r>
      <w:r>
        <w:rPr>
          <w:lang w:eastAsia="cs-CZ"/>
        </w:rPr>
        <w:t xml:space="preserve"> [2]. The choice of module may not be unique (Fig. 1).</w:t>
      </w:r>
    </w:p>
    <w:p>
      <w:pPr>
        <w:pStyle w:val="Normal"/>
        <w:rPr>
          <w:lang w:eastAsia="cs-CZ"/>
        </w:rPr>
      </w:pPr>
      <w:r>
        <w:rPr>
          <w:lang w:eastAsia="cs-CZ"/>
        </w:rPr>
      </w:r>
    </w:p>
    <w:p>
      <w:pPr>
        <w:pStyle w:val="Normal"/>
        <w:jc w:val="center"/>
        <w:rPr/>
      </w:pPr>
      <w:r>
        <w:rPr/>
        <w:drawing>
          <wp:anchor behindDoc="0" distT="0" distB="0" distL="0" distR="0" simplePos="0" locked="0" layoutInCell="0" allowOverlap="1" relativeHeight="3">
            <wp:simplePos x="0" y="0"/>
            <wp:positionH relativeFrom="column">
              <wp:posOffset>1485265</wp:posOffset>
            </wp:positionH>
            <wp:positionV relativeFrom="paragraph">
              <wp:posOffset>635</wp:posOffset>
            </wp:positionV>
            <wp:extent cx="1645285" cy="1543050"/>
            <wp:effectExtent l="0" t="0" r="0" b="0"/>
            <wp:wrapTopAndBottom/>
            <wp:docPr id="1"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title=""/>
                    <pic:cNvPicPr>
                      <a:picLocks noChangeAspect="1" noChangeArrowheads="1"/>
                    </pic:cNvPicPr>
                  </pic:nvPicPr>
                  <pic:blipFill>
                    <a:blip r:embed="rId2"/>
                    <a:stretch>
                      <a:fillRect/>
                    </a:stretch>
                  </pic:blipFill>
                  <pic:spPr bwMode="auto">
                    <a:xfrm>
                      <a:off x="0" y="0"/>
                      <a:ext cx="1645285" cy="1543050"/>
                    </a:xfrm>
                    <a:prstGeom prst="rect">
                      <a:avLst/>
                    </a:prstGeom>
                    <a:noFill/>
                  </pic:spPr>
                </pic:pic>
              </a:graphicData>
            </a:graphic>
          </wp:anchor>
        </w:drawing>
        <w:drawing>
          <wp:anchor behindDoc="0" distT="0" distB="0" distL="0" distR="0" simplePos="0" locked="0" layoutInCell="0" allowOverlap="1" relativeHeight="4">
            <wp:simplePos x="0" y="0"/>
            <wp:positionH relativeFrom="column">
              <wp:posOffset>3248025</wp:posOffset>
            </wp:positionH>
            <wp:positionV relativeFrom="paragraph">
              <wp:posOffset>15240</wp:posOffset>
            </wp:positionV>
            <wp:extent cx="1633855" cy="1522730"/>
            <wp:effectExtent l="0" t="0" r="0" b="0"/>
            <wp:wrapSquare wrapText="largest"/>
            <wp:docPr id="2"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title=""/>
                    <pic:cNvPicPr>
                      <a:picLocks noChangeAspect="1" noChangeArrowheads="1"/>
                    </pic:cNvPicPr>
                  </pic:nvPicPr>
                  <pic:blipFill>
                    <a:blip r:embed="rId3"/>
                    <a:stretch>
                      <a:fillRect/>
                    </a:stretch>
                  </pic:blipFill>
                  <pic:spPr bwMode="auto">
                    <a:xfrm>
                      <a:off x="0" y="0"/>
                      <a:ext cx="1633855" cy="1522730"/>
                    </a:xfrm>
                    <a:prstGeom prst="rect">
                      <a:avLst/>
                    </a:prstGeom>
                    <a:noFill/>
                  </pic:spPr>
                </pic:pic>
              </a:graphicData>
            </a:graphic>
          </wp:anchor>
        </w:drawing>
      </w:r>
    </w:p>
    <w:p>
      <w:pPr>
        <w:pStyle w:val="Heading6"/>
        <w:rPr/>
      </w:pPr>
      <w:r>
        <w:rPr>
          <w:b/>
        </w:rPr>
        <w:t>Figure 1</w:t>
      </w:r>
      <w:r>
        <w:rPr/>
        <w:t>. Two distinct module choices in proto-owyheeite, emphasizing (left) crystal chemistry and (right) twinning.</w:t>
      </w:r>
    </w:p>
    <w:p>
      <w:pPr>
        <w:pStyle w:val="Normal"/>
        <w:rPr>
          <w:lang w:eastAsia="cs-CZ"/>
        </w:rPr>
      </w:pPr>
      <w:r>
        <w:rPr/>
        <w:t xml:space="preserve">Moreover, sulfosalts typically are commensurately or incommensurately </w:t>
      </w:r>
      <w:r>
        <w:rPr>
          <w:i/>
          <w:iCs/>
        </w:rPr>
        <w:t>modulated</w:t>
      </w:r>
      <w:r>
        <w:rPr/>
        <w:t xml:space="preserve"> (positionally and occupationally) (Fig. 2), leading to challenging refinements. Both, modularity and modulation represent generalizations of classical space group symmetry. Recent examples of natural and synthetic sulfosalts are discussed to demonstrate the complexities and interplay of both phenomena.</w:t>
      </w:r>
    </w:p>
    <w:p>
      <w:pPr>
        <w:pStyle w:val="Normal"/>
        <w:jc w:val="center"/>
        <w:rPr/>
      </w:pPr>
      <w:r>
        <w:rPr/>
        <w:drawing>
          <wp:inline distT="0" distB="0" distL="0" distR="0">
            <wp:extent cx="2061210" cy="1731010"/>
            <wp:effectExtent l="0" t="0" r="0" b="0"/>
            <wp:docPr id="3" name="Grafik 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8" descr="" title=""/>
                    <pic:cNvPicPr>
                      <a:picLocks noChangeAspect="1" noChangeArrowheads="1"/>
                    </pic:cNvPicPr>
                  </pic:nvPicPr>
                  <pic:blipFill>
                    <a:blip r:embed="rId4"/>
                    <a:stretch>
                      <a:fillRect/>
                    </a:stretch>
                  </pic:blipFill>
                  <pic:spPr bwMode="auto">
                    <a:xfrm>
                      <a:off x="0" y="0"/>
                      <a:ext cx="2061210" cy="1731010"/>
                    </a:xfrm>
                    <a:prstGeom prst="rect">
                      <a:avLst/>
                    </a:prstGeom>
                    <a:noFill/>
                  </pic:spPr>
                </pic:pic>
              </a:graphicData>
            </a:graphic>
          </wp:inline>
        </w:drawing>
      </w:r>
    </w:p>
    <w:p>
      <w:pPr>
        <w:pStyle w:val="Heading6"/>
        <w:rPr>
          <w:lang w:eastAsia="cs-CZ"/>
        </w:rPr>
      </w:pPr>
      <w:r>
        <w:rPr>
          <w:b/>
        </w:rPr>
        <w:t>Figure 2</w:t>
      </w:r>
      <w:r>
        <w:rPr/>
        <w:t xml:space="preserve">. </w:t>
      </w:r>
      <w:r>
        <w:rPr>
          <w:i/>
          <w:iCs/>
        </w:rPr>
        <w:t>h</w:t>
      </w:r>
      <w:r>
        <w:rPr/>
        <w:t xml:space="preserve"> = 4 plane of natural johnjamborite (ideal formula Pb</w:t>
      </w:r>
      <w:r>
        <w:rPr>
          <w:vertAlign w:val="subscript"/>
        </w:rPr>
        <w:t>112</w:t>
      </w:r>
      <w:r>
        <w:rPr/>
        <w:t>Sb</w:t>
      </w:r>
      <w:r>
        <w:rPr>
          <w:vertAlign w:val="subscript"/>
        </w:rPr>
        <w:t>68</w:t>
      </w:r>
      <w:r>
        <w:rPr/>
        <w:t>As</w:t>
      </w:r>
      <w:r>
        <w:rPr>
          <w:vertAlign w:val="subscript"/>
        </w:rPr>
        <w:t>60</w:t>
      </w:r>
      <w:r>
        <w:rPr/>
        <w:t>S</w:t>
      </w:r>
      <w:r>
        <w:rPr>
          <w:vertAlign w:val="subscript"/>
        </w:rPr>
        <w:t>304</w:t>
      </w:r>
      <w:r>
        <w:rPr/>
        <w:t xml:space="preserve">) showing threefold superstructure reflections. The commensurate modulation wave vector is </w:t>
      </w:r>
      <w:r>
        <w:rPr>
          <w:b/>
          <w:bCs/>
        </w:rPr>
        <w:t>q</w:t>
      </w:r>
      <w:r>
        <w:rPr/>
        <w:t xml:space="preserve"> = ⅓</w:t>
      </w:r>
      <w:r>
        <w:rPr>
          <w:b/>
          <w:bCs/>
        </w:rPr>
        <w:t>a</w:t>
      </w:r>
      <w:r>
        <w:rPr/>
        <w:t>*−⅓</w:t>
      </w:r>
      <w:r>
        <w:rPr>
          <w:b/>
          <w:bCs/>
        </w:rPr>
        <w:t>b</w:t>
      </w:r>
      <w:r>
        <w:rPr/>
        <w:t>*.</w:t>
      </w:r>
    </w:p>
    <w:p>
      <w:pPr>
        <w:pStyle w:val="Normal"/>
        <w:rPr>
          <w:lang w:eastAsia="cs-CZ"/>
        </w:rPr>
      </w:pPr>
      <w:r>
        <w:rPr>
          <w:lang w:eastAsia="cs-CZ"/>
        </w:rPr>
      </w:r>
    </w:p>
    <w:p>
      <w:pPr>
        <w:pStyle w:val="Heading4"/>
        <w:rPr/>
      </w:pPr>
      <w:r>
        <w:rPr/>
        <w:t xml:space="preserve">[1] Moëlo Y., </w:t>
      </w:r>
      <w:r>
        <w:rPr>
          <w:i/>
          <w:iCs/>
        </w:rPr>
        <w:t>et al.</w:t>
      </w:r>
      <w:r>
        <w:rPr/>
        <w:t xml:space="preserve"> (2008). </w:t>
      </w:r>
      <w:r>
        <w:rPr>
          <w:i/>
        </w:rPr>
        <w:t>Eur. J. Min.</w:t>
      </w:r>
      <w:r>
        <w:rPr/>
        <w:t xml:space="preserve"> </w:t>
      </w:r>
      <w:r>
        <w:rPr>
          <w:b/>
        </w:rPr>
        <w:t>20</w:t>
      </w:r>
      <w:r>
        <w:rPr/>
        <w:t>, 7.</w:t>
      </w:r>
    </w:p>
    <w:p>
      <w:pPr>
        <w:pStyle w:val="Heading4"/>
        <w:keepNext w:val="true"/>
        <w:spacing w:before="0" w:after="120"/>
        <w:ind w:hanging="567" w:start="567"/>
        <w:rPr/>
      </w:pPr>
      <w:r>
        <w:rPr/>
        <w:t xml:space="preserve">[2] Ito, T.-i., &amp; Sadanaga, R. (1976). </w:t>
      </w:r>
      <w:r>
        <w:rPr>
          <w:i/>
        </w:rPr>
        <w:t>Proc. Japan Acad.</w:t>
      </w:r>
      <w:r>
        <w:rPr/>
        <w:t xml:space="preserve">, </w:t>
      </w:r>
      <w:r>
        <w:rPr>
          <w:b/>
        </w:rPr>
        <w:t>52</w:t>
      </w:r>
      <w:r>
        <w:rPr/>
        <w:t>, 119.</w:t>
      </w:r>
    </w:p>
    <w:sectPr>
      <w:headerReference w:type="even" r:id="rId5"/>
      <w:headerReference w:type="default" r:id="rId6"/>
      <w:headerReference w:type="first" r:id="rId7"/>
      <w:footerReference w:type="even" r:id="rId8"/>
      <w:footerReference w:type="default" r:id="rId9"/>
      <w:footerReference w:type="first" r:id="rId10"/>
      <w:type w:val="nextPage"/>
      <w:pgSz w:w="12240" w:h="15840"/>
      <w:pgMar w:left="720" w:right="720" w:gutter="0" w:header="708" w:top="765" w:footer="708" w:bottom="765"/>
      <w:pgNumType w:fmt="decimal"/>
      <w:formProt w:val="false"/>
      <w:textDirection w:val="lrTb"/>
      <w:docGrid w:type="default" w:linePitch="272" w:charSpace="16384"/>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Times New Roman">
    <w:charset w:val="01" w:characterSet="utf-8"/>
    <w:family w:val="roman"/>
    <w:pitch w:val="variable"/>
  </w:font>
  <w:font w:name="Arial">
    <w:charset w:val="01" w:characterSet="utf-8"/>
    <w:family w:val="swiss"/>
    <w:pitch w:val="variable"/>
  </w:font>
  <w:font w:name="Tahoma">
    <w:charset w:val="01" w:characterSet="utf-8"/>
    <w:family w:val="roman"/>
    <w:pitch w:val="variable"/>
  </w:font>
  <w:font w:name="Liberation Sans">
    <w:altName w:val="Arial"/>
    <w:charset w:val="01" w:characterSet="utf-8"/>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spacing w:before="0" w:after="120"/>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t>Acta Cryst. (2025). A81, e1</w:t>
    </w:r>
  </w:p>
  <w:p>
    <w:pPr>
      <w:pStyle w:val="Normal"/>
      <w:tabs>
        <w:tab w:val="clear" w:pos="720"/>
        <w:tab w:val="center" w:pos="4703" w:leader="none"/>
        <w:tab w:val="right" w:pos="9406" w:leader="none"/>
      </w:tabs>
      <w:spacing w:before="0" w:after="120"/>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t>Acta Cryst. (2025). A81, e1</w:t>
    </w:r>
  </w:p>
  <w:p>
    <w:pPr>
      <w:pStyle w:val="Normal"/>
      <w:tabs>
        <w:tab w:val="clear" w:pos="720"/>
        <w:tab w:val="center" w:pos="4703" w:leader="none"/>
        <w:tab w:val="right" w:pos="9406" w:leader="none"/>
      </w:tabs>
      <w:spacing w:before="0" w:after="120"/>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spacing w:before="0" w:after="120"/>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703" w:leader="none"/>
        <w:tab w:val="right" w:pos="9406" w:leader="none"/>
      </w:tabs>
      <w:spacing w:before="0" w:after="120"/>
      <w:rPr/>
    </w:pPr>
    <w:r>
      <w:rPr>
        <w:b/>
        <w:bCs/>
      </w:rPr>
      <w:t>MS</w:t>
    </w:r>
    <w:r>
      <w:rPr/>
      <w:tab/>
    </w:r>
    <w:r>
      <w:rPr>
        <w:b/>
        <w:bCs/>
      </w:rPr>
      <w:t>Microsymposium</w:t>
    </w:r>
    <w:r>
      <w:rPr/>
      <w:tab/>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703" w:leader="none"/>
        <w:tab w:val="right" w:pos="9406" w:leader="none"/>
      </w:tabs>
      <w:spacing w:before="0" w:after="120"/>
      <w:rPr/>
    </w:pPr>
    <w:r>
      <w:rPr>
        <w:b/>
        <w:bCs/>
      </w:rPr>
      <w:t>MS</w:t>
    </w:r>
    <w:r>
      <w:rPr/>
      <w:tab/>
    </w:r>
    <w:r>
      <w:rPr>
        <w:b/>
        <w:bCs/>
      </w:rPr>
      <w:t>Microsymposium</w:t>
    </w:r>
    <w:r>
      <w:rPr/>
      <w:tab/>
    </w:r>
  </w:p>
</w:hdr>
</file>

<file path=word/settings.xml><?xml version="1.0" encoding="utf-8"?>
<w:settings xmlns:w="http://schemas.openxmlformats.org/wordprocessingml/2006/main">
  <w:zoom w:percent="220"/>
  <w:embedSystemFonts/>
  <w:defaultTabStop w:val="720"/>
  <w:autoHyphenation w:val="true"/>
  <w:hyphenationZone w:val="360"/>
  <w:compat>
    <w:compatSetting w:name="compatibilityMode" w:uri="http://schemas.microsoft.com/office/word" w:val="11"/>
  </w:compat>
  <w:themeFontLang w:val="cs-CZ"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n-GB" w:eastAsia="en-GB" w:bidi="ar-SA"/>
      </w:rPr>
    </w:rPrDefault>
    <w:pPrDefault>
      <w:pPr>
        <w:suppressAutoHyphens w:val="true"/>
      </w:pPr>
    </w:pPrDefault>
  </w:docDefaults>
  <w:latentStyles w:defLockedState="0" w:defUIPriority="99" w:defSemiHidden="0" w:defUnhideWhenUsed="0" w:defQFormat="0" w:count="371">
    <w:lsdException w:name="Normal" w:uiPriority="0"/>
    <w:lsdException w:name="heading 5" w:uiPriority="9" w:semiHidden="1" w:unhideWhenUsed="1"/>
    <w:lsdException w:name="heading 6" w:uiPriority="9" w:semiHidden="1" w:unhideWhenUsed="1" w:qFormat="1"/>
    <w:lsdException w:name="heading 7" w:uiPriority="9" w:semiHidden="1" w:unhideWhenUsed="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925275"/>
    <w:pPr>
      <w:widowControl/>
      <w:suppressAutoHyphens w:val="true"/>
      <w:bidi w:val="0"/>
      <w:spacing w:before="0" w:after="120"/>
      <w:jc w:val="both"/>
    </w:pPr>
    <w:rPr>
      <w:rFonts w:ascii="Times New Roman" w:hAnsi="Times New Roman" w:eastAsia="Times New Roman" w:cs="Times New Roman"/>
      <w:color w:val="auto"/>
      <w:kern w:val="0"/>
      <w:sz w:val="20"/>
      <w:szCs w:val="20"/>
      <w:lang w:val="en-GB" w:eastAsia="de-DE" w:bidi="ar-SA"/>
    </w:rPr>
  </w:style>
  <w:style w:type="paragraph" w:styleId="Heading1">
    <w:name w:val="heading 1"/>
    <w:basedOn w:val="Normal"/>
    <w:next w:val="Heading2"/>
    <w:link w:val="Heading1Char"/>
    <w:uiPriority w:val="99"/>
    <w:qFormat/>
    <w:rsid w:val="00925275"/>
    <w:pPr>
      <w:keepNext w:val="true"/>
      <w:spacing w:before="240" w:after="60"/>
      <w:jc w:val="center"/>
      <w:outlineLvl w:val="0"/>
    </w:pPr>
    <w:rPr>
      <w:rFonts w:ascii="Arial" w:hAnsi="Arial" w:cs="Arial"/>
      <w:b/>
      <w:bCs/>
      <w:kern w:val="2"/>
      <w:sz w:val="24"/>
      <w:szCs w:val="32"/>
    </w:rPr>
  </w:style>
  <w:style w:type="paragraph" w:styleId="Heading2">
    <w:name w:val="heading 2"/>
    <w:basedOn w:val="Normal"/>
    <w:next w:val="Heading3"/>
    <w:link w:val="Heading2Char"/>
    <w:uiPriority w:val="99"/>
    <w:qFormat/>
    <w:rsid w:val="00925275"/>
    <w:pPr>
      <w:keepNext w:val="true"/>
      <w:spacing w:before="240" w:after="240"/>
      <w:jc w:val="center"/>
      <w:outlineLvl w:val="1"/>
    </w:pPr>
    <w:rPr>
      <w:rFonts w:ascii="Arial" w:hAnsi="Arial" w:cs="Arial"/>
      <w:b/>
      <w:bCs/>
      <w:iCs/>
      <w:szCs w:val="28"/>
    </w:rPr>
  </w:style>
  <w:style w:type="paragraph" w:styleId="Heading3">
    <w:name w:val="heading 3"/>
    <w:basedOn w:val="Normal"/>
    <w:next w:val="Normal"/>
    <w:link w:val="Heading3Char"/>
    <w:uiPriority w:val="99"/>
    <w:qFormat/>
    <w:rsid w:val="002e03db"/>
    <w:pPr>
      <w:keepNext w:val="true"/>
      <w:jc w:val="center"/>
      <w:outlineLvl w:val="2"/>
    </w:pPr>
    <w:rPr>
      <w:bCs/>
      <w:i/>
      <w:szCs w:val="24"/>
      <w:lang w:eastAsia="cs-CZ"/>
    </w:rPr>
  </w:style>
  <w:style w:type="paragraph" w:styleId="Heading4">
    <w:name w:val="heading 4"/>
    <w:basedOn w:val="Normal"/>
    <w:next w:val="Normal"/>
    <w:link w:val="Heading4Char"/>
    <w:uiPriority w:val="99"/>
    <w:qFormat/>
    <w:rsid w:val="00ff732e"/>
    <w:pPr>
      <w:keepNext w:val="true"/>
      <w:ind w:hanging="567" w:start="567"/>
      <w:outlineLvl w:val="3"/>
    </w:pPr>
    <w:rPr>
      <w:bCs/>
      <w:sz w:val="18"/>
      <w:szCs w:val="24"/>
      <w:lang w:eastAsia="cs-CZ"/>
    </w:rPr>
  </w:style>
  <w:style w:type="paragraph" w:styleId="Heading5">
    <w:name w:val="heading 5"/>
    <w:basedOn w:val="Heading6"/>
    <w:next w:val="Normal"/>
    <w:link w:val="Heading5Char"/>
    <w:uiPriority w:val="9"/>
    <w:unhideWhenUsed/>
    <w:qFormat/>
    <w:rsid w:val="00605a18"/>
    <w:pPr>
      <w:outlineLvl w:val="4"/>
    </w:pPr>
    <w:rPr>
      <w:b/>
    </w:rPr>
  </w:style>
  <w:style w:type="paragraph" w:styleId="Heading6">
    <w:name w:val="heading 6"/>
    <w:basedOn w:val="Normal"/>
    <w:next w:val="Normal"/>
    <w:link w:val="Heading6Char"/>
    <w:uiPriority w:val="9"/>
    <w:unhideWhenUsed/>
    <w:qFormat/>
    <w:rsid w:val="00777da8"/>
    <w:pPr>
      <w:spacing w:before="0" w:after="60"/>
      <w:jc w:val="center"/>
      <w:outlineLvl w:val="5"/>
    </w:pPr>
    <w:rPr>
      <w:bCs/>
      <w:szCs w:val="22"/>
    </w:rPr>
  </w:style>
  <w:style w:type="character" w:styleId="DefaultParagraphFont" w:default="1">
    <w:name w:val="Default Paragraph Font"/>
    <w:uiPriority w:val="1"/>
    <w:semiHidden/>
    <w:unhideWhenUsed/>
    <w:qFormat/>
    <w:rPr/>
  </w:style>
  <w:style w:type="character" w:styleId="Heading1Char" w:customStyle="1">
    <w:name w:val="Heading 1 Char"/>
    <w:link w:val="Heading1"/>
    <w:uiPriority w:val="99"/>
    <w:qFormat/>
    <w:locked/>
    <w:rsid w:val="00925275"/>
    <w:rPr>
      <w:rFonts w:ascii="Arial" w:hAnsi="Arial" w:cs="Arial"/>
      <w:b/>
      <w:bCs/>
      <w:kern w:val="2"/>
      <w:sz w:val="24"/>
      <w:szCs w:val="32"/>
      <w:lang w:val="en-GB" w:eastAsia="de-DE"/>
    </w:rPr>
  </w:style>
  <w:style w:type="character" w:styleId="Heading2Char" w:customStyle="1">
    <w:name w:val="Heading 2 Char"/>
    <w:link w:val="Heading2"/>
    <w:uiPriority w:val="99"/>
    <w:qFormat/>
    <w:locked/>
    <w:rsid w:val="00925275"/>
    <w:rPr>
      <w:rFonts w:ascii="Arial" w:hAnsi="Arial" w:cs="Arial"/>
      <w:b/>
      <w:bCs/>
      <w:iCs/>
      <w:sz w:val="22"/>
      <w:szCs w:val="28"/>
      <w:lang w:val="en-GB" w:eastAsia="de-DE"/>
    </w:rPr>
  </w:style>
  <w:style w:type="character" w:styleId="Heading3Char" w:customStyle="1">
    <w:name w:val="Heading 3 Char"/>
    <w:link w:val="Heading3"/>
    <w:uiPriority w:val="99"/>
    <w:qFormat/>
    <w:locked/>
    <w:rsid w:val="002e03db"/>
    <w:rPr>
      <w:bCs/>
      <w:i/>
      <w:sz w:val="22"/>
      <w:szCs w:val="24"/>
      <w:lang w:val="en-GB"/>
    </w:rPr>
  </w:style>
  <w:style w:type="character" w:styleId="Heading4Char" w:customStyle="1">
    <w:name w:val="Heading 4 Char"/>
    <w:link w:val="Heading4"/>
    <w:uiPriority w:val="99"/>
    <w:qFormat/>
    <w:locked/>
    <w:rsid w:val="00ff732e"/>
    <w:rPr>
      <w:bCs/>
      <w:sz w:val="18"/>
      <w:szCs w:val="24"/>
      <w:lang w:val="en-GB"/>
    </w:rPr>
  </w:style>
  <w:style w:type="character" w:styleId="HTMLAddressChar" w:customStyle="1">
    <w:name w:val="HTML Address Char"/>
    <w:link w:val="HTMLAddress"/>
    <w:uiPriority w:val="99"/>
    <w:semiHidden/>
    <w:qFormat/>
    <w:rsid w:val="005e6dcd"/>
    <w:rPr>
      <w:i/>
      <w:iCs/>
      <w:lang w:val="de-DE" w:eastAsia="de-DE"/>
    </w:rPr>
  </w:style>
  <w:style w:type="character" w:styleId="Heading5Char" w:customStyle="1">
    <w:name w:val="Heading 5 Char"/>
    <w:link w:val="Heading5"/>
    <w:uiPriority w:val="9"/>
    <w:qFormat/>
    <w:rsid w:val="00605a18"/>
    <w:rPr>
      <w:b/>
      <w:bCs/>
      <w:szCs w:val="22"/>
      <w:lang w:val="en-GB" w:eastAsia="de-DE"/>
    </w:rPr>
  </w:style>
  <w:style w:type="character" w:styleId="Heading6Char" w:customStyle="1">
    <w:name w:val="Heading 6 Char"/>
    <w:link w:val="Heading6"/>
    <w:uiPriority w:val="9"/>
    <w:qFormat/>
    <w:rsid w:val="00777da8"/>
    <w:rPr>
      <w:rFonts w:eastAsia="Times New Roman" w:cs="Times New Roman"/>
      <w:bCs/>
      <w:szCs w:val="22"/>
      <w:lang w:val="de-DE" w:eastAsia="de-DE"/>
    </w:rPr>
  </w:style>
  <w:style w:type="character" w:styleId="HeaderChar" w:customStyle="1">
    <w:name w:val="Header Char"/>
    <w:link w:val="Header"/>
    <w:uiPriority w:val="99"/>
    <w:qFormat/>
    <w:rsid w:val="00d13351"/>
    <w:rPr>
      <w:lang w:val="en-GB" w:eastAsia="de-DE"/>
    </w:rPr>
  </w:style>
  <w:style w:type="character" w:styleId="FooterChar" w:customStyle="1">
    <w:name w:val="Footer Char"/>
    <w:link w:val="Footer"/>
    <w:uiPriority w:val="99"/>
    <w:qFormat/>
    <w:rsid w:val="00d13351"/>
    <w:rPr>
      <w:lang w:val="en-GB" w:eastAsia="de-DE"/>
    </w:rPr>
  </w:style>
  <w:style w:type="character" w:styleId="BalloonTextChar" w:customStyle="1">
    <w:name w:val="Balloon Text Char"/>
    <w:link w:val="BalloonText"/>
    <w:uiPriority w:val="99"/>
    <w:semiHidden/>
    <w:qFormat/>
    <w:rsid w:val="00c64dbe"/>
    <w:rPr>
      <w:rFonts w:ascii="Tahoma" w:hAnsi="Tahoma" w:cs="Tahoma"/>
      <w:sz w:val="16"/>
      <w:szCs w:val="16"/>
      <w:lang w:val="en-GB" w:eastAsia="de-DE"/>
    </w:rPr>
  </w:style>
  <w:style w:type="paragraph" w:styleId="Heading" w:customStyle="1">
    <w:name w:val="Heading"/>
    <w:basedOn w:val="Normal"/>
    <w:next w:val="BodyText"/>
    <w:qFormat/>
    <w:pPr>
      <w:keepNext w:val="true"/>
      <w:spacing w:before="240" w:after="120"/>
    </w:pPr>
    <w:rPr>
      <w:rFonts w:ascii="Liberation Sans" w:hAnsi="Liberation Sans" w:eastAsia="Noto Sans CJK SC" w:cs="Lohit Devanagari"/>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customStyle="1">
    <w:name w:val="Index"/>
    <w:basedOn w:val="Normal"/>
    <w:qFormat/>
    <w:pPr>
      <w:suppressLineNumbers/>
    </w:pPr>
    <w:rPr>
      <w:rFonts w:cs="Lohit Devanagari"/>
    </w:rPr>
  </w:style>
  <w:style w:type="paragraph" w:styleId="Acknowledgement" w:customStyle="1">
    <w:name w:val="Acknowledgement"/>
    <w:basedOn w:val="Normal"/>
    <w:qFormat/>
    <w:rsid w:val="00777da8"/>
    <w:pPr/>
    <w:rPr>
      <w:i/>
    </w:rPr>
  </w:style>
  <w:style w:type="paragraph" w:styleId="HTMLAddress">
    <w:name w:val="HTML Address"/>
    <w:basedOn w:val="Normal"/>
    <w:link w:val="HTMLAddressChar"/>
    <w:uiPriority w:val="99"/>
    <w:semiHidden/>
    <w:unhideWhenUsed/>
    <w:qFormat/>
    <w:rsid w:val="005e6dcd"/>
    <w:pPr/>
    <w:rPr>
      <w:i/>
      <w:iCs/>
    </w:rPr>
  </w:style>
  <w:style w:type="paragraph" w:styleId="HeaderandFooter" w:customStyle="1">
    <w:name w:val="Header and Footer"/>
    <w:basedOn w:val="Normal"/>
    <w:qFormat/>
    <w:pPr/>
    <w:rPr/>
  </w:style>
  <w:style w:type="paragraph" w:styleId="Header">
    <w:name w:val="header"/>
    <w:basedOn w:val="Normal"/>
    <w:link w:val="HeaderChar"/>
    <w:uiPriority w:val="99"/>
    <w:unhideWhenUsed/>
    <w:rsid w:val="00d13351"/>
    <w:pPr>
      <w:tabs>
        <w:tab w:val="clear" w:pos="720"/>
        <w:tab w:val="center" w:pos="4536" w:leader="none"/>
        <w:tab w:val="right" w:pos="9072" w:leader="none"/>
      </w:tabs>
    </w:pPr>
    <w:rPr/>
  </w:style>
  <w:style w:type="paragraph" w:styleId="Footer">
    <w:name w:val="footer"/>
    <w:basedOn w:val="Normal"/>
    <w:link w:val="FooterChar"/>
    <w:uiPriority w:val="99"/>
    <w:unhideWhenUsed/>
    <w:rsid w:val="00d13351"/>
    <w:pPr>
      <w:tabs>
        <w:tab w:val="clear" w:pos="720"/>
        <w:tab w:val="center" w:pos="4536" w:leader="none"/>
        <w:tab w:val="right" w:pos="9072" w:leader="none"/>
      </w:tabs>
    </w:pPr>
    <w:rPr/>
  </w:style>
  <w:style w:type="paragraph" w:styleId="BalloonText">
    <w:name w:val="Balloon Text"/>
    <w:basedOn w:val="Normal"/>
    <w:link w:val="BalloonTextChar"/>
    <w:uiPriority w:val="99"/>
    <w:semiHidden/>
    <w:unhideWhenUsed/>
    <w:qFormat/>
    <w:rsid w:val="00c64dbe"/>
    <w:pPr>
      <w:spacing w:before="0" w:after="0"/>
    </w:pPr>
    <w:rPr>
      <w:rFonts w:ascii="Tahoma" w:hAnsi="Tahoma" w:cs="Tahoma"/>
      <w:sz w:val="16"/>
      <w:szCs w:val="16"/>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styleId="TableGrid">
    <w:name w:val="Table Grid"/>
    <w:basedOn w:val="TableNormal"/>
    <w:uiPriority w:val="99"/>
    <w:rsid w:val="00c263b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jpeg"/><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header" Target="header3.xml"/><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footer" Target="footer3.xml"/><Relationship Id="rId11" Type="http://schemas.openxmlformats.org/officeDocument/2006/relationships/fontTable" Target="fontTable.xml"/><Relationship Id="rId12" Type="http://schemas.openxmlformats.org/officeDocument/2006/relationships/settings" Target="settings.xml"/><Relationship Id="rId13" Type="http://schemas.openxmlformats.org/officeDocument/2006/relationships/theme" Target="theme/theme1.xml"/><Relationship Id="rId14" Type="http://schemas.openxmlformats.org/officeDocument/2006/relationships/customXml" Target="../customXml/item1.xml"/>
</Relationships>
</file>

<file path=word/theme/theme1.xml><?xml version="1.0" encoding="utf-8"?>
<a:theme xmlns:a="http://schemas.openxmlformats.org/drawingml/2006/main" xmlns:r="http://schemas.openxmlformats.org/officeDocument/2006/relationships" name="Motiv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21E0AE-6DDE-4FDB-AD25-D0DA1D2E6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1015</TotalTime>
  <Application>LibreOffice/25.2.2.2$Linux_X86_64 LibreOffice_project/520$Build-2</Application>
  <AppVersion>15.0000</AppVersion>
  <Pages>1</Pages>
  <Words>250</Words>
  <Characters>1494</Characters>
  <CharactersWithSpaces>1731</CharactersWithSpaces>
  <Paragraphs>15</Paragraphs>
  <Company>MFF UK</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2019-09-04T15:26:00Z</dcterms:created>
  <dc:creator>Uživatel systému Windows</dc:creator>
  <dc:description/>
  <dc:language>en-GB</dc:language>
  <cp:lastModifiedBy/>
  <dcterms:modified xsi:type="dcterms:W3CDTF">2025-05-14T10:24:43Z</dcterms:modified>
  <cp:revision>28</cp:revision>
  <dc:subject/>
  <dc:title>Materials Structure</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0</vt:bool>
  </property>
  <property fmtid="{D5CDD505-2E9C-101B-9397-08002B2CF9AE}" pid="3" name="LinksUpToDate">
    <vt:bool>0</vt:bool>
  </property>
  <property fmtid="{D5CDD505-2E9C-101B-9397-08002B2CF9AE}" pid="4" name="ScaleCrop">
    <vt:bool>0</vt:bool>
  </property>
  <property fmtid="{D5CDD505-2E9C-101B-9397-08002B2CF9AE}" pid="5" name="ShareDoc">
    <vt:bool>0</vt:bool>
  </property>
</Properties>
</file>