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C631" w14:textId="77777777" w:rsidR="00C8774C" w:rsidRPr="00563848" w:rsidRDefault="00C8774C" w:rsidP="00C8774C">
      <w:pPr>
        <w:pStyle w:val="Heading1"/>
        <w:rPr>
          <w:lang w:val="de-DE"/>
        </w:rPr>
      </w:pPr>
      <w:r w:rsidRPr="00563848">
        <w:rPr>
          <w:lang w:val="de-DE"/>
        </w:rPr>
        <w:t xml:space="preserve">Describing </w:t>
      </w:r>
      <w:r>
        <w:rPr>
          <w:lang w:val="de-DE"/>
        </w:rPr>
        <w:t>p</w:t>
      </w:r>
      <w:r w:rsidRPr="00563848">
        <w:rPr>
          <w:lang w:val="de-DE"/>
        </w:rPr>
        <w:t xml:space="preserve">olarization in </w:t>
      </w:r>
      <w:r>
        <w:rPr>
          <w:lang w:val="de-DE"/>
        </w:rPr>
        <w:t>h</w:t>
      </w:r>
      <w:r w:rsidRPr="00563848">
        <w:rPr>
          <w:lang w:val="de-DE"/>
        </w:rPr>
        <w:t>ybrid ab initio/</w:t>
      </w:r>
      <w:r>
        <w:rPr>
          <w:lang w:val="de-DE"/>
        </w:rPr>
        <w:t>e</w:t>
      </w:r>
      <w:r w:rsidRPr="00563848">
        <w:rPr>
          <w:lang w:val="de-DE"/>
        </w:rPr>
        <w:t xml:space="preserve">mpirical </w:t>
      </w:r>
      <w:r>
        <w:rPr>
          <w:lang w:val="de-DE"/>
        </w:rPr>
        <w:t>f</w:t>
      </w:r>
      <w:r w:rsidRPr="00563848">
        <w:rPr>
          <w:lang w:val="de-DE"/>
        </w:rPr>
        <w:t xml:space="preserve">orce-field </w:t>
      </w:r>
      <w:r>
        <w:rPr>
          <w:lang w:val="de-DE"/>
        </w:rPr>
        <w:t>m</w:t>
      </w:r>
      <w:r w:rsidRPr="00563848">
        <w:rPr>
          <w:lang w:val="de-DE"/>
        </w:rPr>
        <w:t xml:space="preserve">odels for </w:t>
      </w:r>
      <w:r>
        <w:rPr>
          <w:lang w:val="de-DE"/>
        </w:rPr>
        <w:t>c</w:t>
      </w:r>
      <w:r w:rsidRPr="00563848">
        <w:rPr>
          <w:lang w:val="de-DE"/>
        </w:rPr>
        <w:t xml:space="preserve">rystal </w:t>
      </w:r>
      <w:r>
        <w:rPr>
          <w:lang w:val="de-DE"/>
        </w:rPr>
        <w:t>st</w:t>
      </w:r>
      <w:r w:rsidRPr="00563848">
        <w:rPr>
          <w:lang w:val="de-DE"/>
        </w:rPr>
        <w:t xml:space="preserve">ructure </w:t>
      </w:r>
      <w:r>
        <w:rPr>
          <w:lang w:val="de-DE"/>
        </w:rPr>
        <w:t>p</w:t>
      </w:r>
      <w:r w:rsidRPr="00563848">
        <w:rPr>
          <w:lang w:val="de-DE"/>
        </w:rPr>
        <w:t>rediction</w:t>
      </w:r>
    </w:p>
    <w:p w14:paraId="42F31081" w14:textId="77777777" w:rsidR="00C8774C" w:rsidRPr="00563848" w:rsidRDefault="00C8774C" w:rsidP="00C8774C">
      <w:pPr>
        <w:pStyle w:val="Heading2"/>
        <w:rPr>
          <w:lang w:val="de-DE"/>
        </w:rPr>
      </w:pPr>
      <w:r w:rsidRPr="00563848">
        <w:rPr>
          <w:lang w:val="de-DE"/>
        </w:rPr>
        <w:t>Benjamin I. Tan</w:t>
      </w:r>
      <w:r>
        <w:rPr>
          <w:vertAlign w:val="superscript"/>
          <w:lang w:val="de-DE"/>
        </w:rPr>
        <w:t>1</w:t>
      </w:r>
      <w:r w:rsidRPr="00563848">
        <w:rPr>
          <w:lang w:val="de-DE"/>
        </w:rPr>
        <w:t>, David H. Bowskill</w:t>
      </w:r>
      <w:r>
        <w:rPr>
          <w:vertAlign w:val="superscript"/>
          <w:lang w:val="de-DE"/>
        </w:rPr>
        <w:t>2</w:t>
      </w:r>
      <w:r w:rsidRPr="00563848">
        <w:rPr>
          <w:lang w:val="de-DE"/>
        </w:rPr>
        <w:t>, Adam Keates</w:t>
      </w:r>
      <w:r>
        <w:rPr>
          <w:vertAlign w:val="superscript"/>
          <w:lang w:val="de-DE"/>
        </w:rPr>
        <w:t>3</w:t>
      </w:r>
      <w:r w:rsidRPr="00563848">
        <w:rPr>
          <w:lang w:val="de-DE"/>
        </w:rPr>
        <w:t>, Constantinos C. Pantelides</w:t>
      </w:r>
      <w:r>
        <w:rPr>
          <w:vertAlign w:val="superscript"/>
          <w:lang w:val="de-DE"/>
        </w:rPr>
        <w:t>1</w:t>
      </w:r>
      <w:r w:rsidRPr="00563848">
        <w:rPr>
          <w:lang w:val="de-DE"/>
        </w:rPr>
        <w:t>, and Claire S. Adjiman</w:t>
      </w:r>
      <w:r>
        <w:rPr>
          <w:vertAlign w:val="superscript"/>
          <w:lang w:val="de-DE"/>
        </w:rPr>
        <w:t>1</w:t>
      </w:r>
    </w:p>
    <w:p w14:paraId="01CD0261" w14:textId="77777777" w:rsidR="00C8774C" w:rsidRDefault="00C8774C" w:rsidP="00C8774C">
      <w:pPr>
        <w:pStyle w:val="Heading3"/>
        <w:rPr>
          <w:lang w:val="de-DE"/>
        </w:rPr>
      </w:pPr>
      <w:r>
        <w:rPr>
          <w:vertAlign w:val="superscript"/>
          <w:lang w:val="de-DE"/>
        </w:rPr>
        <w:t>1</w:t>
      </w:r>
      <w:r w:rsidRPr="00563848">
        <w:rPr>
          <w:lang w:val="de-DE"/>
        </w:rPr>
        <w:t>Department of Chemical Engineering, Sargent Centre for Process Systems Engineering and Institute for Molecular Science and Engineering, Imperial College London, London SW7 2AZ, United Kingdom</w:t>
      </w:r>
      <w:r>
        <w:rPr>
          <w:lang w:val="de-DE"/>
        </w:rPr>
        <w:t xml:space="preserve">, </w:t>
      </w:r>
      <w:r>
        <w:rPr>
          <w:vertAlign w:val="superscript"/>
          <w:lang w:val="de-DE"/>
        </w:rPr>
        <w:t>2</w:t>
      </w:r>
      <w:r w:rsidRPr="00563848">
        <w:rPr>
          <w:lang w:val="de-DE"/>
        </w:rPr>
        <w:t xml:space="preserve"> Syngenta Crop Protection, Breitenloh 5, Münchwilen CH-4333, Switzerland</w:t>
      </w:r>
      <w:r>
        <w:rPr>
          <w:lang w:val="de-DE"/>
        </w:rPr>
        <w:t xml:space="preserve">, </w:t>
      </w:r>
      <w:r>
        <w:rPr>
          <w:vertAlign w:val="superscript"/>
          <w:lang w:val="de-DE"/>
        </w:rPr>
        <w:t>3</w:t>
      </w:r>
      <w:r w:rsidRPr="00563848">
        <w:rPr>
          <w:lang w:val="de-DE"/>
        </w:rPr>
        <w:t>Process Studies Group, Syngenta, Jealott’s Hill International Research Centre, Bracknell, Berkshire, RG42 6EY, United Kingdom</w:t>
      </w:r>
    </w:p>
    <w:p w14:paraId="30E0EABA" w14:textId="1BAD4CB2" w:rsidR="00C8774C" w:rsidRDefault="00D20F85" w:rsidP="00C8774C">
      <w:pPr>
        <w:pStyle w:val="Heading3"/>
        <w:rPr>
          <w:lang w:val="de-DE"/>
        </w:rPr>
      </w:pPr>
      <w:r>
        <w:rPr>
          <w:lang w:val="de-DE"/>
        </w:rPr>
        <w:t>Communicating</w:t>
      </w:r>
      <w:r w:rsidR="00DE7B57">
        <w:rPr>
          <w:lang w:val="de-DE"/>
        </w:rPr>
        <w:t xml:space="preserve"> author email: </w:t>
      </w:r>
      <w:hyperlink r:id="rId7" w:history="1">
        <w:r w:rsidR="00DE7B57" w:rsidRPr="007042A1">
          <w:rPr>
            <w:rStyle w:val="Hyperlink"/>
            <w:lang w:val="de-DE"/>
          </w:rPr>
          <w:t>bt817@ic.ac.uk</w:t>
        </w:r>
      </w:hyperlink>
    </w:p>
    <w:p w14:paraId="78BEFA7E" w14:textId="77777777" w:rsidR="004D429F" w:rsidRPr="004D429F" w:rsidRDefault="004D429F" w:rsidP="004D429F">
      <w:pPr>
        <w:rPr>
          <w:lang w:val="de-DE" w:eastAsia="cs-CZ"/>
        </w:rPr>
      </w:pPr>
    </w:p>
    <w:p w14:paraId="6B1891FF" w14:textId="0B78A820" w:rsidR="008E4FBB" w:rsidRDefault="00C8774C" w:rsidP="00C8774C">
      <w:pPr>
        <w:rPr>
          <w:lang w:val="de-DE"/>
        </w:rPr>
      </w:pPr>
      <w:r w:rsidRPr="00563848">
        <w:rPr>
          <w:lang w:val="de-DE"/>
        </w:rPr>
        <w:t xml:space="preserve">Crystal Structure Prediction (CSP) seeks to predict the putative polymorphs of a solid system and rank them by their relative thermodynamic stability. CSP </w:t>
      </w:r>
      <w:r w:rsidR="00F671D1">
        <w:rPr>
          <w:lang w:val="de-DE"/>
        </w:rPr>
        <w:t>models</w:t>
      </w:r>
      <w:r w:rsidR="004D0291">
        <w:rPr>
          <w:lang w:val="de-DE"/>
        </w:rPr>
        <w:t xml:space="preserve"> of the lattice energy</w:t>
      </w:r>
      <w:r w:rsidRPr="00563848">
        <w:rPr>
          <w:lang w:val="de-DE"/>
        </w:rPr>
        <w:t xml:space="preserve"> </w:t>
      </w:r>
      <w:r w:rsidR="00C23AFD">
        <w:rPr>
          <w:lang w:val="de-DE"/>
        </w:rPr>
        <w:t>that</w:t>
      </w:r>
      <w:r w:rsidRPr="00563848">
        <w:rPr>
          <w:lang w:val="de-DE"/>
        </w:rPr>
        <w:t xml:space="preserve"> combine ab initio calculations with empirical force-fields have proved to be effective </w:t>
      </w:r>
      <w:r w:rsidR="00F961AA">
        <w:rPr>
          <w:lang w:val="de-DE"/>
        </w:rPr>
        <w:t>for this purpose</w:t>
      </w:r>
      <w:r w:rsidRPr="00563848">
        <w:rPr>
          <w:lang w:val="de-DE"/>
        </w:rPr>
        <w:t xml:space="preserve"> [1, 2]. </w:t>
      </w:r>
      <w:r w:rsidR="00AA003E">
        <w:rPr>
          <w:lang w:val="de-DE"/>
        </w:rPr>
        <w:t xml:space="preserve">Such models </w:t>
      </w:r>
      <w:r w:rsidR="00E13E4B">
        <w:rPr>
          <w:lang w:val="de-DE"/>
        </w:rPr>
        <w:t xml:space="preserve">typically </w:t>
      </w:r>
      <w:r w:rsidR="0054578B">
        <w:rPr>
          <w:lang w:val="de-DE"/>
        </w:rPr>
        <w:t xml:space="preserve">describe the intramolecular and electrostatic </w:t>
      </w:r>
      <w:r w:rsidR="00B74791">
        <w:rPr>
          <w:lang w:val="de-DE"/>
        </w:rPr>
        <w:t>contributions to</w:t>
      </w:r>
      <w:r w:rsidR="0054578B">
        <w:rPr>
          <w:lang w:val="de-DE"/>
        </w:rPr>
        <w:t xml:space="preserve"> the lattice energy using molecule</w:t>
      </w:r>
      <w:r w:rsidR="00E651AC">
        <w:rPr>
          <w:lang w:val="de-DE"/>
        </w:rPr>
        <w:t>-specific quanti</w:t>
      </w:r>
      <w:r w:rsidR="00C366F7">
        <w:rPr>
          <w:lang w:val="de-DE"/>
        </w:rPr>
        <w:t>ti</w:t>
      </w:r>
      <w:r w:rsidR="00E651AC">
        <w:rPr>
          <w:lang w:val="de-DE"/>
        </w:rPr>
        <w:t>es</w:t>
      </w:r>
      <w:r w:rsidR="008C7478">
        <w:rPr>
          <w:lang w:val="de-DE"/>
        </w:rPr>
        <w:t xml:space="preserve"> derived from ab initio calculations </w:t>
      </w:r>
      <w:r w:rsidR="0031026D">
        <w:rPr>
          <w:lang w:val="de-DE"/>
        </w:rPr>
        <w:t>performed on isolated molecules</w:t>
      </w:r>
      <w:r w:rsidR="00E665AC">
        <w:rPr>
          <w:lang w:val="de-DE"/>
        </w:rPr>
        <w:t>. R</w:t>
      </w:r>
      <w:r w:rsidR="00E13E4B">
        <w:rPr>
          <w:lang w:val="de-DE"/>
        </w:rPr>
        <w:t>epulsion-dispersion interactions</w:t>
      </w:r>
      <w:r w:rsidR="00E665AC">
        <w:rPr>
          <w:lang w:val="de-DE"/>
        </w:rPr>
        <w:t xml:space="preserve">, and any other effects not accounted for in the ab initio-derived terms, are embedded in the </w:t>
      </w:r>
      <w:r w:rsidR="0096263A">
        <w:rPr>
          <w:lang w:val="de-DE"/>
        </w:rPr>
        <w:t xml:space="preserve">empirical terms. </w:t>
      </w:r>
      <w:r w:rsidRPr="00563848">
        <w:rPr>
          <w:lang w:val="de-DE"/>
        </w:rPr>
        <w:t xml:space="preserve">However, such approaches </w:t>
      </w:r>
      <w:r w:rsidR="0096263A">
        <w:rPr>
          <w:lang w:val="de-DE"/>
        </w:rPr>
        <w:t>naively</w:t>
      </w:r>
      <w:r w:rsidRPr="00563848">
        <w:rPr>
          <w:lang w:val="de-DE"/>
        </w:rPr>
        <w:t xml:space="preserve"> neglect the effect of polarization, which </w:t>
      </w:r>
      <w:r w:rsidR="0096263A">
        <w:rPr>
          <w:lang w:val="de-DE"/>
        </w:rPr>
        <w:t>hinders</w:t>
      </w:r>
      <w:r w:rsidRPr="00563848">
        <w:rPr>
          <w:lang w:val="de-DE"/>
        </w:rPr>
        <w:t xml:space="preserve"> the accurate description of intermolecular interactions like hydrogen bonds [3, 4</w:t>
      </w:r>
      <w:r w:rsidR="00CF1733">
        <w:rPr>
          <w:lang w:val="de-DE"/>
        </w:rPr>
        <w:t>]</w:t>
      </w:r>
      <w:r w:rsidRPr="00563848">
        <w:rPr>
          <w:lang w:val="de-DE"/>
        </w:rPr>
        <w:t xml:space="preserve">. </w:t>
      </w:r>
      <w:r w:rsidR="004429BF">
        <w:rPr>
          <w:lang w:val="de-DE"/>
        </w:rPr>
        <w:t>Here</w:t>
      </w:r>
      <w:r w:rsidRPr="00563848">
        <w:rPr>
          <w:lang w:val="de-DE"/>
        </w:rPr>
        <w:t xml:space="preserve">, we investigate approaches to incorporate polarization </w:t>
      </w:r>
      <w:r w:rsidR="005C3EFA">
        <w:rPr>
          <w:lang w:val="de-DE"/>
        </w:rPr>
        <w:t xml:space="preserve">more rigorously </w:t>
      </w:r>
      <w:r w:rsidRPr="00563848">
        <w:rPr>
          <w:lang w:val="de-DE"/>
        </w:rPr>
        <w:t xml:space="preserve">into the hybrid ab initio/empirical force-field (HAIEFF) model, at different levels of fidelity. </w:t>
      </w:r>
    </w:p>
    <w:p w14:paraId="2A331678" w14:textId="4807FCB5" w:rsidR="00B80FBE" w:rsidRDefault="006560A2" w:rsidP="00C8774C">
      <w:pPr>
        <w:rPr>
          <w:lang w:val="de-DE"/>
        </w:rPr>
      </w:pPr>
      <w:r>
        <w:rPr>
          <w:lang w:val="de-DE"/>
        </w:rPr>
        <w:t>T</w:t>
      </w:r>
      <w:r w:rsidR="00C8774C" w:rsidRPr="00563848">
        <w:rPr>
          <w:lang w:val="de-DE"/>
        </w:rPr>
        <w:t xml:space="preserve">o embed polarization </w:t>
      </w:r>
      <w:r>
        <w:rPr>
          <w:lang w:val="de-DE"/>
        </w:rPr>
        <w:t>in</w:t>
      </w:r>
      <w:r w:rsidR="008B3CC2">
        <w:rPr>
          <w:lang w:val="de-DE"/>
        </w:rPr>
        <w:t>to</w:t>
      </w:r>
      <w:r w:rsidR="00C8774C" w:rsidRPr="00563848">
        <w:rPr>
          <w:lang w:val="de-DE"/>
        </w:rPr>
        <w:t xml:space="preserve"> </w:t>
      </w:r>
      <w:r w:rsidR="00444E79">
        <w:rPr>
          <w:lang w:val="de-DE"/>
        </w:rPr>
        <w:t xml:space="preserve">the </w:t>
      </w:r>
      <w:r w:rsidR="005C3EFA">
        <w:rPr>
          <w:lang w:val="de-DE"/>
        </w:rPr>
        <w:t xml:space="preserve">ab initio-derived terms of the </w:t>
      </w:r>
      <w:r w:rsidR="00444E79">
        <w:rPr>
          <w:lang w:val="de-DE"/>
        </w:rPr>
        <w:t>HAIEFF</w:t>
      </w:r>
      <w:r w:rsidR="00C8774C" w:rsidRPr="00563848">
        <w:rPr>
          <w:lang w:val="de-DE"/>
        </w:rPr>
        <w:t xml:space="preserve"> </w:t>
      </w:r>
      <w:r>
        <w:rPr>
          <w:lang w:val="de-DE"/>
        </w:rPr>
        <w:t>model</w:t>
      </w:r>
      <w:r w:rsidR="00C8774C" w:rsidRPr="00563848">
        <w:rPr>
          <w:lang w:val="de-DE"/>
        </w:rPr>
        <w:t xml:space="preserve">, </w:t>
      </w:r>
      <w:r w:rsidR="000A34A9">
        <w:rPr>
          <w:lang w:val="de-DE"/>
        </w:rPr>
        <w:t xml:space="preserve">the </w:t>
      </w:r>
      <w:r w:rsidR="00162369">
        <w:rPr>
          <w:lang w:val="de-DE"/>
        </w:rPr>
        <w:t xml:space="preserve">ab initio </w:t>
      </w:r>
      <w:r w:rsidR="00C8774C" w:rsidRPr="00563848">
        <w:rPr>
          <w:lang w:val="de-DE"/>
        </w:rPr>
        <w:t>computations</w:t>
      </w:r>
      <w:r w:rsidR="000A34A9">
        <w:rPr>
          <w:lang w:val="de-DE"/>
        </w:rPr>
        <w:t xml:space="preserve"> used to derive </w:t>
      </w:r>
      <w:r w:rsidR="00F0622C">
        <w:rPr>
          <w:lang w:val="de-DE"/>
        </w:rPr>
        <w:t xml:space="preserve">molecular electrostatic features (e.g., </w:t>
      </w:r>
      <w:r w:rsidR="004E2597">
        <w:rPr>
          <w:lang w:val="de-DE"/>
        </w:rPr>
        <w:t xml:space="preserve">distributed </w:t>
      </w:r>
      <w:r w:rsidR="00F0622C">
        <w:rPr>
          <w:lang w:val="de-DE"/>
        </w:rPr>
        <w:t>multipoles)</w:t>
      </w:r>
      <w:r w:rsidR="00C8774C" w:rsidRPr="00563848">
        <w:rPr>
          <w:lang w:val="de-DE"/>
        </w:rPr>
        <w:t xml:space="preserve"> </w:t>
      </w:r>
      <w:r w:rsidR="00667090">
        <w:rPr>
          <w:lang w:val="de-DE"/>
        </w:rPr>
        <w:t xml:space="preserve">are </w:t>
      </w:r>
      <w:r w:rsidR="00980BB8">
        <w:rPr>
          <w:lang w:val="de-DE"/>
        </w:rPr>
        <w:t>performed</w:t>
      </w:r>
      <w:r w:rsidR="00667090">
        <w:rPr>
          <w:lang w:val="de-DE"/>
        </w:rPr>
        <w:t xml:space="preserve"> </w:t>
      </w:r>
      <w:r w:rsidR="00C8774C" w:rsidRPr="00563848">
        <w:rPr>
          <w:lang w:val="de-DE"/>
        </w:rPr>
        <w:t>with</w:t>
      </w:r>
      <w:r w:rsidR="0094344D">
        <w:rPr>
          <w:lang w:val="de-DE"/>
        </w:rPr>
        <w:t xml:space="preserve"> two</w:t>
      </w:r>
      <w:r w:rsidR="00C8774C" w:rsidRPr="00563848">
        <w:rPr>
          <w:lang w:val="de-DE"/>
        </w:rPr>
        <w:t xml:space="preserve"> approximations of the crystalline electric field</w:t>
      </w:r>
      <w:r w:rsidR="00790EF6">
        <w:rPr>
          <w:lang w:val="de-DE"/>
        </w:rPr>
        <w:t>:</w:t>
      </w:r>
      <w:r w:rsidR="0094344D">
        <w:rPr>
          <w:lang w:val="de-DE"/>
        </w:rPr>
        <w:t xml:space="preserve"> a </w:t>
      </w:r>
      <w:r w:rsidR="0094344D" w:rsidRPr="00563848">
        <w:rPr>
          <w:lang w:val="de-DE"/>
        </w:rPr>
        <w:t>Polarizable Continuum Model (PCM) [5]</w:t>
      </w:r>
      <w:r w:rsidR="00790EF6">
        <w:rPr>
          <w:lang w:val="de-DE"/>
        </w:rPr>
        <w:t xml:space="preserve">, and </w:t>
      </w:r>
      <w:r w:rsidR="00C8774C" w:rsidRPr="00563848">
        <w:rPr>
          <w:lang w:val="de-DE"/>
        </w:rPr>
        <w:t xml:space="preserve">an electronic-embedding method termed the self-consistent electronic response to point-charge (SCERP) model [3, 4]. </w:t>
      </w:r>
      <w:r w:rsidR="00524615">
        <w:rPr>
          <w:lang w:val="de-DE"/>
        </w:rPr>
        <w:t>To appraise</w:t>
      </w:r>
      <w:r w:rsidR="00C8774C" w:rsidRPr="00563848">
        <w:rPr>
          <w:lang w:val="de-DE"/>
        </w:rPr>
        <w:t xml:space="preserve"> these induction models, </w:t>
      </w:r>
      <w:r w:rsidR="00E000CB">
        <w:rPr>
          <w:lang w:val="de-DE"/>
        </w:rPr>
        <w:t>complementary</w:t>
      </w:r>
      <w:r w:rsidR="00C8774C" w:rsidRPr="00563848">
        <w:rPr>
          <w:lang w:val="de-DE"/>
        </w:rPr>
        <w:t xml:space="preserve"> </w:t>
      </w:r>
      <w:r w:rsidR="002F03BB">
        <w:rPr>
          <w:lang w:val="de-DE"/>
        </w:rPr>
        <w:t>HAIEFF</w:t>
      </w:r>
      <w:r w:rsidR="00C8774C" w:rsidRPr="00563848">
        <w:rPr>
          <w:lang w:val="de-DE"/>
        </w:rPr>
        <w:t xml:space="preserve"> force-fields have been independently parametrized </w:t>
      </w:r>
      <w:r w:rsidR="004B4355">
        <w:rPr>
          <w:lang w:val="de-DE"/>
        </w:rPr>
        <w:t>in</w:t>
      </w:r>
      <w:r w:rsidR="00C8774C" w:rsidRPr="00563848">
        <w:rPr>
          <w:lang w:val="de-DE"/>
        </w:rPr>
        <w:t xml:space="preserve"> this work. By fitting an additional force-field </w:t>
      </w:r>
      <w:r w:rsidR="00AA577E">
        <w:rPr>
          <w:lang w:val="de-DE"/>
        </w:rPr>
        <w:t>without</w:t>
      </w:r>
      <w:r w:rsidR="00C8774C" w:rsidRPr="00563848">
        <w:rPr>
          <w:lang w:val="de-DE"/>
        </w:rPr>
        <w:t xml:space="preserve"> either polarization method, a third model (denoted FF</w:t>
      </w:r>
      <w:r w:rsidR="00C8774C" w:rsidRPr="002F03BB">
        <w:rPr>
          <w:vertAlign w:val="subscript"/>
          <w:lang w:val="de-DE"/>
        </w:rPr>
        <w:t>ind</w:t>
      </w:r>
      <w:r w:rsidR="00C8774C" w:rsidRPr="00563848">
        <w:rPr>
          <w:lang w:val="de-DE"/>
        </w:rPr>
        <w:t>)</w:t>
      </w:r>
      <w:r w:rsidR="007C1233">
        <w:rPr>
          <w:lang w:val="de-DE"/>
        </w:rPr>
        <w:t xml:space="preserve"> is considered</w:t>
      </w:r>
      <w:r w:rsidR="00C8774C" w:rsidRPr="00563848">
        <w:rPr>
          <w:lang w:val="de-DE"/>
        </w:rPr>
        <w:t xml:space="preserve">, wherein the effects of polarization are completely borne by the </w:t>
      </w:r>
      <w:r w:rsidR="00394474">
        <w:rPr>
          <w:lang w:val="de-DE"/>
        </w:rPr>
        <w:t>empirical component of the HAIEFF</w:t>
      </w:r>
      <w:r w:rsidR="00921AEC">
        <w:rPr>
          <w:lang w:val="de-DE"/>
        </w:rPr>
        <w:t xml:space="preserve"> </w:t>
      </w:r>
      <w:r w:rsidR="007A4107">
        <w:rPr>
          <w:lang w:val="de-DE"/>
        </w:rPr>
        <w:t>model</w:t>
      </w:r>
      <w:r w:rsidR="00C8774C" w:rsidRPr="00563848">
        <w:rPr>
          <w:lang w:val="de-DE"/>
        </w:rPr>
        <w:t xml:space="preserve">. </w:t>
      </w:r>
    </w:p>
    <w:p w14:paraId="0BB2747D" w14:textId="0CE8AA33" w:rsidR="00580917" w:rsidRDefault="0029119D" w:rsidP="00C8774C">
      <w:pPr>
        <w:rPr>
          <w:lang w:val="de-DE"/>
        </w:rPr>
      </w:pPr>
      <w:r>
        <w:rPr>
          <w:lang w:val="de-DE"/>
        </w:rPr>
        <w:t>During</w:t>
      </w:r>
      <w:r w:rsidRPr="00563848">
        <w:rPr>
          <w:lang w:val="de-DE"/>
        </w:rPr>
        <w:t xml:space="preserve"> the force-field parametrization</w:t>
      </w:r>
      <w:r>
        <w:rPr>
          <w:lang w:val="de-DE"/>
        </w:rPr>
        <w:t>, we find that a</w:t>
      </w:r>
      <w:r w:rsidRPr="00563848">
        <w:rPr>
          <w:lang w:val="de-DE"/>
        </w:rPr>
        <w:t xml:space="preserve"> Mie potential</w:t>
      </w:r>
      <w:r>
        <w:rPr>
          <w:lang w:val="de-DE"/>
        </w:rPr>
        <w:t xml:space="preserve"> is </w:t>
      </w:r>
      <w:r w:rsidRPr="00563848">
        <w:rPr>
          <w:lang w:val="de-DE"/>
        </w:rPr>
        <w:t xml:space="preserve">better suited for </w:t>
      </w:r>
      <w:r>
        <w:rPr>
          <w:lang w:val="de-DE"/>
        </w:rPr>
        <w:t xml:space="preserve">accommodating the effects of polarization, compared to the more widely used </w:t>
      </w:r>
      <w:r w:rsidRPr="00563848">
        <w:rPr>
          <w:lang w:val="de-DE"/>
        </w:rPr>
        <w:t xml:space="preserve">Buckingham potential. </w:t>
      </w:r>
      <w:r w:rsidR="00271774" w:rsidRPr="00563848">
        <w:rPr>
          <w:lang w:val="de-DE"/>
        </w:rPr>
        <w:t xml:space="preserve">Overall, the training data </w:t>
      </w:r>
      <w:r w:rsidR="00493024">
        <w:rPr>
          <w:lang w:val="de-DE"/>
        </w:rPr>
        <w:t>are</w:t>
      </w:r>
      <w:r w:rsidR="00271774" w:rsidRPr="00563848">
        <w:rPr>
          <w:lang w:val="de-DE"/>
        </w:rPr>
        <w:t xml:space="preserve"> more accurately </w:t>
      </w:r>
      <w:r w:rsidR="00097D9F">
        <w:rPr>
          <w:lang w:val="de-DE"/>
        </w:rPr>
        <w:t>represented</w:t>
      </w:r>
      <w:r w:rsidR="00271774" w:rsidRPr="00563848">
        <w:rPr>
          <w:lang w:val="de-DE"/>
        </w:rPr>
        <w:t xml:space="preserve"> when using PCM or SCERP</w:t>
      </w:r>
      <w:r w:rsidR="00703889">
        <w:rPr>
          <w:lang w:val="de-DE"/>
        </w:rPr>
        <w:t xml:space="preserve">, </w:t>
      </w:r>
      <w:r w:rsidR="003C2334">
        <w:rPr>
          <w:lang w:val="de-DE"/>
        </w:rPr>
        <w:t>rather</w:t>
      </w:r>
      <w:r w:rsidR="00703889">
        <w:rPr>
          <w:lang w:val="de-DE"/>
        </w:rPr>
        <w:t xml:space="preserve"> </w:t>
      </w:r>
      <w:r w:rsidR="003C2334">
        <w:rPr>
          <w:lang w:val="de-DE"/>
        </w:rPr>
        <w:t>than</w:t>
      </w:r>
      <w:r w:rsidR="00097D9F">
        <w:rPr>
          <w:lang w:val="de-DE"/>
        </w:rPr>
        <w:t xml:space="preserve"> </w:t>
      </w:r>
      <w:r w:rsidR="00271774" w:rsidRPr="00563848">
        <w:rPr>
          <w:lang w:val="de-DE"/>
        </w:rPr>
        <w:t xml:space="preserve">relying on the force-field </w:t>
      </w:r>
      <w:r w:rsidR="00493024">
        <w:rPr>
          <w:lang w:val="de-DE"/>
        </w:rPr>
        <w:t>parameters in FF</w:t>
      </w:r>
      <w:r w:rsidR="00493024">
        <w:rPr>
          <w:vertAlign w:val="subscript"/>
          <w:lang w:val="de-DE"/>
        </w:rPr>
        <w:t>ind</w:t>
      </w:r>
      <w:r w:rsidR="00493024">
        <w:rPr>
          <w:lang w:val="de-DE"/>
        </w:rPr>
        <w:t xml:space="preserve"> to</w:t>
      </w:r>
      <w:r w:rsidR="00271774" w:rsidRPr="00563848">
        <w:rPr>
          <w:lang w:val="de-DE"/>
        </w:rPr>
        <w:t xml:space="preserve"> absorb </w:t>
      </w:r>
      <w:r w:rsidR="00493024">
        <w:rPr>
          <w:lang w:val="de-DE"/>
        </w:rPr>
        <w:t xml:space="preserve">the </w:t>
      </w:r>
      <w:r w:rsidR="00271774" w:rsidRPr="00563848">
        <w:rPr>
          <w:lang w:val="de-DE"/>
        </w:rPr>
        <w:t>effects</w:t>
      </w:r>
      <w:r w:rsidR="00493024">
        <w:rPr>
          <w:lang w:val="de-DE"/>
        </w:rPr>
        <w:t xml:space="preserve"> of </w:t>
      </w:r>
      <w:r w:rsidR="00493024" w:rsidRPr="00563848">
        <w:rPr>
          <w:lang w:val="de-DE"/>
        </w:rPr>
        <w:t>polarization</w:t>
      </w:r>
      <w:r w:rsidR="00493024">
        <w:rPr>
          <w:lang w:val="de-DE"/>
        </w:rPr>
        <w:t>.</w:t>
      </w:r>
      <w:r w:rsidR="00DF110A">
        <w:rPr>
          <w:lang w:val="de-DE"/>
        </w:rPr>
        <w:t xml:space="preserve"> </w:t>
      </w:r>
      <w:r w:rsidR="00CB4C91">
        <w:rPr>
          <w:lang w:val="de-DE"/>
        </w:rPr>
        <w:t>B</w:t>
      </w:r>
      <w:r w:rsidR="00C8774C" w:rsidRPr="00563848">
        <w:rPr>
          <w:lang w:val="de-DE"/>
        </w:rPr>
        <w:t xml:space="preserve">etween PCM and SCERP, differences in parameter estimation accuracy </w:t>
      </w:r>
      <w:r w:rsidR="00DF110A">
        <w:rPr>
          <w:lang w:val="de-DE"/>
        </w:rPr>
        <w:t>are</w:t>
      </w:r>
      <w:r w:rsidR="00C8774C" w:rsidRPr="00563848">
        <w:rPr>
          <w:lang w:val="de-DE"/>
        </w:rPr>
        <w:t xml:space="preserve"> marginal. The three model</w:t>
      </w:r>
      <w:r w:rsidR="004D0291">
        <w:rPr>
          <w:lang w:val="de-DE"/>
        </w:rPr>
        <w:t>ing approaches</w:t>
      </w:r>
      <w:r w:rsidR="00C8774C" w:rsidRPr="00563848">
        <w:rPr>
          <w:lang w:val="de-DE"/>
        </w:rPr>
        <w:t xml:space="preserve"> </w:t>
      </w:r>
      <w:r w:rsidR="00900845">
        <w:rPr>
          <w:lang w:val="de-DE"/>
        </w:rPr>
        <w:t>are</w:t>
      </w:r>
      <w:r w:rsidR="00C8774C" w:rsidRPr="00563848">
        <w:rPr>
          <w:lang w:val="de-DE"/>
        </w:rPr>
        <w:t xml:space="preserve"> then applied in CSP studies of a rigid monohydrate system and a flexible organic molecule. In both cases, at least one polymorph</w:t>
      </w:r>
      <w:r w:rsidR="00EC736A">
        <w:rPr>
          <w:lang w:val="de-DE"/>
        </w:rPr>
        <w:t xml:space="preserve"> </w:t>
      </w:r>
      <w:r w:rsidR="00C30B5F">
        <w:rPr>
          <w:lang w:val="de-DE"/>
        </w:rPr>
        <w:t xml:space="preserve">is </w:t>
      </w:r>
      <w:r w:rsidR="00C8774C" w:rsidRPr="00563848">
        <w:rPr>
          <w:lang w:val="de-DE"/>
        </w:rPr>
        <w:t xml:space="preserve">predicted </w:t>
      </w:r>
      <w:r w:rsidR="00777009">
        <w:rPr>
          <w:lang w:val="de-DE"/>
        </w:rPr>
        <w:t xml:space="preserve">to have </w:t>
      </w:r>
      <w:r w:rsidR="00244800">
        <w:rPr>
          <w:lang w:val="de-DE"/>
        </w:rPr>
        <w:t xml:space="preserve">an </w:t>
      </w:r>
      <w:r w:rsidR="004014A5">
        <w:rPr>
          <w:lang w:val="de-DE"/>
        </w:rPr>
        <w:t>unreasonably high</w:t>
      </w:r>
      <w:r w:rsidR="00C8774C" w:rsidRPr="00563848">
        <w:rPr>
          <w:lang w:val="de-DE"/>
        </w:rPr>
        <w:t xml:space="preserve"> relative energy</w:t>
      </w:r>
      <w:r w:rsidR="001D7BC7">
        <w:rPr>
          <w:lang w:val="de-DE"/>
        </w:rPr>
        <w:t xml:space="preserve"> when using </w:t>
      </w:r>
      <w:r w:rsidR="001D7BC7" w:rsidRPr="00563848">
        <w:rPr>
          <w:lang w:val="de-DE"/>
        </w:rPr>
        <w:t>FF</w:t>
      </w:r>
      <w:r w:rsidR="001D7BC7" w:rsidRPr="002F03BB">
        <w:rPr>
          <w:vertAlign w:val="subscript"/>
          <w:lang w:val="de-DE"/>
        </w:rPr>
        <w:t>ind</w:t>
      </w:r>
      <w:r w:rsidR="009C4B4B">
        <w:rPr>
          <w:lang w:val="de-DE"/>
        </w:rPr>
        <w:t>;</w:t>
      </w:r>
      <w:r w:rsidR="00244800">
        <w:rPr>
          <w:lang w:val="de-DE"/>
        </w:rPr>
        <w:t xml:space="preserve"> </w:t>
      </w:r>
      <w:r w:rsidR="00DC2751">
        <w:rPr>
          <w:lang w:val="de-DE"/>
        </w:rPr>
        <w:t xml:space="preserve">this </w:t>
      </w:r>
      <w:r w:rsidR="00A13E22">
        <w:rPr>
          <w:lang w:val="de-DE"/>
        </w:rPr>
        <w:t>spurious</w:t>
      </w:r>
      <w:r w:rsidR="00DC2751">
        <w:rPr>
          <w:lang w:val="de-DE"/>
        </w:rPr>
        <w:t xml:space="preserve"> behavior is </w:t>
      </w:r>
      <w:r w:rsidR="001A4B58">
        <w:rPr>
          <w:lang w:val="de-DE"/>
        </w:rPr>
        <w:t>diminished</w:t>
      </w:r>
      <w:r w:rsidR="00244800">
        <w:rPr>
          <w:lang w:val="de-DE"/>
        </w:rPr>
        <w:t xml:space="preserve"> when using</w:t>
      </w:r>
      <w:r w:rsidR="00244800" w:rsidRPr="00563848">
        <w:rPr>
          <w:lang w:val="de-DE"/>
        </w:rPr>
        <w:t xml:space="preserve"> PCM </w:t>
      </w:r>
      <w:r w:rsidR="00244800">
        <w:rPr>
          <w:lang w:val="de-DE"/>
        </w:rPr>
        <w:t>or</w:t>
      </w:r>
      <w:r w:rsidR="00244800" w:rsidRPr="00563848">
        <w:rPr>
          <w:lang w:val="de-DE"/>
        </w:rPr>
        <w:t xml:space="preserve"> SCERP</w:t>
      </w:r>
      <w:r w:rsidR="001A4B58">
        <w:rPr>
          <w:lang w:val="de-DE"/>
        </w:rPr>
        <w:t xml:space="preserve">. </w:t>
      </w:r>
      <w:r w:rsidR="00C61544">
        <w:rPr>
          <w:lang w:val="de-DE"/>
        </w:rPr>
        <w:t xml:space="preserve">Generally, </w:t>
      </w:r>
      <w:r w:rsidR="009C4B4B">
        <w:rPr>
          <w:lang w:val="de-DE"/>
        </w:rPr>
        <w:t xml:space="preserve">PCM and SCERP </w:t>
      </w:r>
      <w:r w:rsidR="00244800">
        <w:rPr>
          <w:lang w:val="de-DE"/>
        </w:rPr>
        <w:t>yield</w:t>
      </w:r>
      <w:r w:rsidR="00C8774C" w:rsidRPr="00563848">
        <w:rPr>
          <w:lang w:val="de-DE"/>
        </w:rPr>
        <w:t xml:space="preserve"> predictions of similar qualit</w:t>
      </w:r>
      <w:r w:rsidR="009C4B4B">
        <w:rPr>
          <w:lang w:val="de-DE"/>
        </w:rPr>
        <w:t>y, but</w:t>
      </w:r>
      <w:r w:rsidR="00C8774C" w:rsidRPr="00563848">
        <w:rPr>
          <w:lang w:val="de-DE"/>
        </w:rPr>
        <w:t xml:space="preserve"> the </w:t>
      </w:r>
      <w:r w:rsidR="00DF1E59">
        <w:rPr>
          <w:lang w:val="de-DE"/>
        </w:rPr>
        <w:t>former</w:t>
      </w:r>
      <w:r w:rsidR="00C8774C" w:rsidRPr="00563848">
        <w:rPr>
          <w:lang w:val="de-DE"/>
        </w:rPr>
        <w:t xml:space="preserve"> </w:t>
      </w:r>
      <w:r w:rsidR="004014A5">
        <w:rPr>
          <w:lang w:val="de-DE"/>
        </w:rPr>
        <w:t>fails</w:t>
      </w:r>
      <w:r w:rsidR="00C8774C" w:rsidRPr="00563848">
        <w:rPr>
          <w:lang w:val="de-DE"/>
        </w:rPr>
        <w:t xml:space="preserve"> to capture differences in polarization between crystal </w:t>
      </w:r>
      <w:r w:rsidR="004014A5">
        <w:rPr>
          <w:lang w:val="de-DE"/>
        </w:rPr>
        <w:t>structures</w:t>
      </w:r>
      <w:r w:rsidR="00C8774C" w:rsidRPr="00563848">
        <w:rPr>
          <w:lang w:val="de-DE"/>
        </w:rPr>
        <w:t xml:space="preserve">, leading to </w:t>
      </w:r>
      <w:r w:rsidR="009B4F3F">
        <w:rPr>
          <w:lang w:val="de-DE"/>
        </w:rPr>
        <w:t xml:space="preserve">some </w:t>
      </w:r>
      <w:r w:rsidR="00C8774C" w:rsidRPr="00563848">
        <w:rPr>
          <w:lang w:val="de-DE"/>
        </w:rPr>
        <w:t xml:space="preserve">erroneous </w:t>
      </w:r>
      <w:r w:rsidR="009B4F3F">
        <w:rPr>
          <w:lang w:val="de-DE"/>
        </w:rPr>
        <w:t>predictions</w:t>
      </w:r>
      <w:r w:rsidR="004014A5">
        <w:rPr>
          <w:lang w:val="de-DE"/>
        </w:rPr>
        <w:t>. Conversely</w:t>
      </w:r>
      <w:r w:rsidR="00C8774C" w:rsidRPr="00563848">
        <w:rPr>
          <w:lang w:val="de-DE"/>
        </w:rPr>
        <w:t xml:space="preserve">, these nuances </w:t>
      </w:r>
      <w:r w:rsidR="004014A5">
        <w:rPr>
          <w:lang w:val="de-DE"/>
        </w:rPr>
        <w:t>are</w:t>
      </w:r>
      <w:r w:rsidR="00C8774C" w:rsidRPr="00563848">
        <w:rPr>
          <w:lang w:val="de-DE"/>
        </w:rPr>
        <w:t xml:space="preserve"> more precisely described</w:t>
      </w:r>
      <w:r w:rsidR="009D124B">
        <w:rPr>
          <w:lang w:val="de-DE"/>
        </w:rPr>
        <w:t xml:space="preserve"> using SCERP</w:t>
      </w:r>
      <w:r w:rsidR="00C8774C" w:rsidRPr="00563848">
        <w:rPr>
          <w:lang w:val="de-DE"/>
        </w:rPr>
        <w:t xml:space="preserve">, </w:t>
      </w:r>
      <w:r w:rsidR="00B619E2">
        <w:rPr>
          <w:lang w:val="de-DE"/>
        </w:rPr>
        <w:t>leading to</w:t>
      </w:r>
      <w:r w:rsidR="00C8774C" w:rsidRPr="00563848">
        <w:rPr>
          <w:lang w:val="de-DE"/>
        </w:rPr>
        <w:t xml:space="preserve"> </w:t>
      </w:r>
      <w:r w:rsidR="00361E98">
        <w:rPr>
          <w:lang w:val="de-DE"/>
        </w:rPr>
        <w:t>CSP predictions</w:t>
      </w:r>
      <w:r w:rsidR="00C8774C" w:rsidRPr="00563848">
        <w:rPr>
          <w:lang w:val="de-DE"/>
        </w:rPr>
        <w:t xml:space="preserve"> </w:t>
      </w:r>
      <w:r w:rsidR="00B619E2">
        <w:rPr>
          <w:lang w:val="de-DE"/>
        </w:rPr>
        <w:t xml:space="preserve">that </w:t>
      </w:r>
      <w:r w:rsidR="009D124B">
        <w:rPr>
          <w:lang w:val="de-DE"/>
        </w:rPr>
        <w:t>conform</w:t>
      </w:r>
      <w:r w:rsidR="00C8774C" w:rsidRPr="00563848">
        <w:rPr>
          <w:lang w:val="de-DE"/>
        </w:rPr>
        <w:t xml:space="preserve"> better </w:t>
      </w:r>
      <w:r w:rsidR="009D124B">
        <w:rPr>
          <w:lang w:val="de-DE"/>
        </w:rPr>
        <w:t>with</w:t>
      </w:r>
      <w:r w:rsidR="00C8774C" w:rsidRPr="00563848">
        <w:rPr>
          <w:lang w:val="de-DE"/>
        </w:rPr>
        <w:t xml:space="preserve"> </w:t>
      </w:r>
      <w:r w:rsidR="009B4F3F">
        <w:rPr>
          <w:lang w:val="de-DE"/>
        </w:rPr>
        <w:t>results</w:t>
      </w:r>
      <w:r w:rsidR="00C8774C" w:rsidRPr="00563848">
        <w:rPr>
          <w:lang w:val="de-DE"/>
        </w:rPr>
        <w:t xml:space="preserve"> from periodic DFT</w:t>
      </w:r>
      <w:r w:rsidR="004D0291">
        <w:rPr>
          <w:lang w:val="de-DE"/>
        </w:rPr>
        <w:t>-D calculations</w:t>
      </w:r>
      <w:r w:rsidR="00C8774C" w:rsidRPr="00563848">
        <w:rPr>
          <w:lang w:val="de-DE"/>
        </w:rPr>
        <w:t>.</w:t>
      </w:r>
      <w:r w:rsidR="00580917">
        <w:rPr>
          <w:lang w:val="de-DE"/>
        </w:rPr>
        <w:t xml:space="preserve"> </w:t>
      </w:r>
      <w:r w:rsidR="00C8774C" w:rsidRPr="00563848">
        <w:rPr>
          <w:lang w:val="de-DE"/>
        </w:rPr>
        <w:t xml:space="preserve">Ultimately, </w:t>
      </w:r>
      <w:r w:rsidR="00482024">
        <w:rPr>
          <w:lang w:val="de-DE"/>
        </w:rPr>
        <w:t>we</w:t>
      </w:r>
      <w:r w:rsidR="00C8774C" w:rsidRPr="00563848">
        <w:rPr>
          <w:lang w:val="de-DE"/>
        </w:rPr>
        <w:t xml:space="preserve"> </w:t>
      </w:r>
      <w:r w:rsidR="00E41DC1">
        <w:rPr>
          <w:lang w:val="de-DE"/>
        </w:rPr>
        <w:t xml:space="preserve">demonstrate that </w:t>
      </w:r>
      <w:r w:rsidR="00F6145C">
        <w:rPr>
          <w:lang w:val="de-DE"/>
        </w:rPr>
        <w:t xml:space="preserve">polarization </w:t>
      </w:r>
      <w:r w:rsidR="00E375E1">
        <w:rPr>
          <w:lang w:val="de-DE"/>
        </w:rPr>
        <w:t>m</w:t>
      </w:r>
      <w:r w:rsidR="00C8774C" w:rsidRPr="00563848">
        <w:rPr>
          <w:lang w:val="de-DE"/>
        </w:rPr>
        <w:t>odels</w:t>
      </w:r>
      <w:r w:rsidR="00F6145C">
        <w:rPr>
          <w:lang w:val="de-DE"/>
        </w:rPr>
        <w:t xml:space="preserve">, </w:t>
      </w:r>
      <w:r w:rsidR="00C8774C" w:rsidRPr="00563848">
        <w:rPr>
          <w:lang w:val="de-DE"/>
        </w:rPr>
        <w:t>like PCM and SCERP</w:t>
      </w:r>
      <w:r w:rsidR="00F6145C">
        <w:rPr>
          <w:lang w:val="de-DE"/>
        </w:rPr>
        <w:t xml:space="preserve">, </w:t>
      </w:r>
      <w:r w:rsidR="00C8774C" w:rsidRPr="00563848">
        <w:rPr>
          <w:lang w:val="de-DE"/>
        </w:rPr>
        <w:t xml:space="preserve">should be more widely adopted in CSP. </w:t>
      </w:r>
      <w:r w:rsidR="002F272E">
        <w:rPr>
          <w:lang w:val="de-DE"/>
        </w:rPr>
        <w:t>Currently</w:t>
      </w:r>
      <w:r w:rsidR="00C8774C" w:rsidRPr="00563848">
        <w:rPr>
          <w:lang w:val="de-DE"/>
        </w:rPr>
        <w:t xml:space="preserve">, SCERP </w:t>
      </w:r>
      <w:r w:rsidR="002F272E">
        <w:rPr>
          <w:lang w:val="de-DE"/>
        </w:rPr>
        <w:t>offers</w:t>
      </w:r>
      <w:r w:rsidR="00C8774C" w:rsidRPr="00563848">
        <w:rPr>
          <w:lang w:val="de-DE"/>
        </w:rPr>
        <w:t xml:space="preserve"> </w:t>
      </w:r>
      <w:r w:rsidR="00A6675D">
        <w:rPr>
          <w:lang w:val="de-DE"/>
        </w:rPr>
        <w:t>only</w:t>
      </w:r>
      <w:r w:rsidR="00C8774C" w:rsidRPr="00563848">
        <w:rPr>
          <w:lang w:val="de-DE"/>
        </w:rPr>
        <w:t xml:space="preserve"> </w:t>
      </w:r>
      <w:r w:rsidR="00A6675D">
        <w:rPr>
          <w:lang w:val="de-DE"/>
        </w:rPr>
        <w:t>modest</w:t>
      </w:r>
      <w:r w:rsidR="00C8774C" w:rsidRPr="00563848">
        <w:rPr>
          <w:lang w:val="de-DE"/>
        </w:rPr>
        <w:t xml:space="preserve"> improvement over PCM,</w:t>
      </w:r>
      <w:r w:rsidR="00A6675D">
        <w:rPr>
          <w:lang w:val="de-DE"/>
        </w:rPr>
        <w:t xml:space="preserve"> but</w:t>
      </w:r>
      <w:r w:rsidR="00C8774C" w:rsidRPr="00563848">
        <w:rPr>
          <w:lang w:val="de-DE"/>
        </w:rPr>
        <w:t xml:space="preserve"> the more physically</w:t>
      </w:r>
      <w:r w:rsidR="000B7996">
        <w:rPr>
          <w:lang w:val="de-DE"/>
        </w:rPr>
        <w:t xml:space="preserve">-sound </w:t>
      </w:r>
      <w:r w:rsidR="00C8774C" w:rsidRPr="00563848">
        <w:rPr>
          <w:lang w:val="de-DE"/>
        </w:rPr>
        <w:t xml:space="preserve">foundations of SCERP offer greater potential for </w:t>
      </w:r>
      <w:r w:rsidR="00C30B5F">
        <w:rPr>
          <w:lang w:val="de-DE"/>
        </w:rPr>
        <w:t xml:space="preserve">systematic </w:t>
      </w:r>
      <w:r w:rsidR="00C8774C" w:rsidRPr="00563848">
        <w:rPr>
          <w:lang w:val="de-DE"/>
        </w:rPr>
        <w:t xml:space="preserve">improvement.  </w:t>
      </w:r>
    </w:p>
    <w:p w14:paraId="4142BD80" w14:textId="77777777" w:rsidR="00C8774C" w:rsidRPr="00563848" w:rsidRDefault="00C8774C" w:rsidP="00EE2D1E">
      <w:pPr>
        <w:pStyle w:val="Heading4"/>
        <w:ind w:left="0" w:firstLine="0"/>
        <w:rPr>
          <w:lang w:val="de-DE"/>
        </w:rPr>
      </w:pPr>
      <w:r w:rsidRPr="00563848">
        <w:rPr>
          <w:lang w:val="de-DE"/>
        </w:rPr>
        <w:t xml:space="preserve">[1] Reilly, A. M. et al. Report on the sixth blind test of organic crystal structure prediction methods. </w:t>
      </w:r>
      <w:r w:rsidRPr="00707804">
        <w:rPr>
          <w:i/>
          <w:iCs/>
          <w:lang w:val="de-DE"/>
        </w:rPr>
        <w:t>Acta Crystallographica Section B</w:t>
      </w:r>
      <w:r w:rsidRPr="00563848">
        <w:rPr>
          <w:lang w:val="de-DE"/>
        </w:rPr>
        <w:t xml:space="preserve"> </w:t>
      </w:r>
      <w:r w:rsidRPr="003D31CA">
        <w:rPr>
          <w:b/>
          <w:bCs w:val="0"/>
          <w:lang w:val="de-DE"/>
        </w:rPr>
        <w:t>2016</w:t>
      </w:r>
      <w:r w:rsidRPr="00563848">
        <w:rPr>
          <w:lang w:val="de-DE"/>
        </w:rPr>
        <w:t xml:space="preserve">, </w:t>
      </w:r>
      <w:r w:rsidRPr="00707804">
        <w:rPr>
          <w:i/>
          <w:iCs/>
          <w:lang w:val="de-DE"/>
        </w:rPr>
        <w:t>72</w:t>
      </w:r>
      <w:r w:rsidRPr="00563848">
        <w:rPr>
          <w:lang w:val="de-DE"/>
        </w:rPr>
        <w:t>, 439–459.</w:t>
      </w:r>
    </w:p>
    <w:p w14:paraId="386CBFA7" w14:textId="77777777" w:rsidR="00C8774C" w:rsidRPr="00563848" w:rsidRDefault="00C8774C" w:rsidP="00C8774C">
      <w:pPr>
        <w:pStyle w:val="Heading4"/>
        <w:rPr>
          <w:lang w:val="de-DE"/>
        </w:rPr>
      </w:pPr>
      <w:r w:rsidRPr="00563848">
        <w:rPr>
          <w:lang w:val="de-DE"/>
        </w:rPr>
        <w:t xml:space="preserve">[2] Hunnisett, L. M. et al. The seventh blind test of crystal structure prediction: structure generation methods. </w:t>
      </w:r>
      <w:r w:rsidRPr="00707804">
        <w:rPr>
          <w:i/>
          <w:iCs/>
          <w:lang w:val="de-DE"/>
        </w:rPr>
        <w:t>Acta Crystallographica Section B</w:t>
      </w:r>
      <w:r w:rsidRPr="00563848">
        <w:rPr>
          <w:lang w:val="de-DE"/>
        </w:rPr>
        <w:t xml:space="preserve"> </w:t>
      </w:r>
      <w:r w:rsidRPr="003D31CA">
        <w:rPr>
          <w:b/>
          <w:bCs w:val="0"/>
          <w:lang w:val="de-DE"/>
        </w:rPr>
        <w:t>2024</w:t>
      </w:r>
      <w:r w:rsidRPr="00563848">
        <w:rPr>
          <w:lang w:val="de-DE"/>
        </w:rPr>
        <w:t xml:space="preserve">, </w:t>
      </w:r>
      <w:r w:rsidRPr="00707804">
        <w:rPr>
          <w:i/>
          <w:iCs/>
          <w:lang w:val="de-DE"/>
        </w:rPr>
        <w:t>80</w:t>
      </w:r>
      <w:r w:rsidRPr="00563848">
        <w:rPr>
          <w:lang w:val="de-DE"/>
        </w:rPr>
        <w:t>, 517–547.</w:t>
      </w:r>
    </w:p>
    <w:p w14:paraId="3F012F94" w14:textId="77777777" w:rsidR="00C8774C" w:rsidRPr="00563848" w:rsidRDefault="00C8774C" w:rsidP="00C8774C">
      <w:pPr>
        <w:pStyle w:val="Heading4"/>
        <w:rPr>
          <w:lang w:val="de-DE"/>
        </w:rPr>
      </w:pPr>
      <w:r w:rsidRPr="00563848">
        <w:rPr>
          <w:lang w:val="de-DE"/>
        </w:rPr>
        <w:t xml:space="preserve">[3] Welch, G.; Karamertzanis, P.; Misquitta, A.; Stone, A.; Price, S. Is the Induction Energy Important for Modeling Organic Crystals? </w:t>
      </w:r>
      <w:r w:rsidRPr="00707804">
        <w:rPr>
          <w:i/>
          <w:iCs/>
          <w:lang w:val="de-DE"/>
        </w:rPr>
        <w:t>Journal of Chemical Theory and Computation – J CHEM THEORY COMPUT</w:t>
      </w:r>
      <w:r w:rsidRPr="00563848">
        <w:rPr>
          <w:lang w:val="de-DE"/>
        </w:rPr>
        <w:t xml:space="preserve"> </w:t>
      </w:r>
      <w:r w:rsidRPr="003D31CA">
        <w:rPr>
          <w:b/>
          <w:bCs w:val="0"/>
          <w:lang w:val="de-DE"/>
        </w:rPr>
        <w:t>2008</w:t>
      </w:r>
      <w:r w:rsidRPr="00563848">
        <w:rPr>
          <w:lang w:val="de-DE"/>
        </w:rPr>
        <w:t xml:space="preserve">, </w:t>
      </w:r>
      <w:r w:rsidRPr="00707804">
        <w:rPr>
          <w:i/>
          <w:iCs/>
          <w:lang w:val="de-DE"/>
        </w:rPr>
        <w:t>4</w:t>
      </w:r>
      <w:r w:rsidRPr="00563848">
        <w:rPr>
          <w:lang w:val="de-DE"/>
        </w:rPr>
        <w:t>, 522–532.</w:t>
      </w:r>
    </w:p>
    <w:p w14:paraId="2B8B064D" w14:textId="77777777" w:rsidR="00C8774C" w:rsidRPr="00563848" w:rsidRDefault="00C8774C" w:rsidP="00C8774C">
      <w:pPr>
        <w:pStyle w:val="Heading4"/>
        <w:rPr>
          <w:lang w:val="de-DE"/>
        </w:rPr>
      </w:pPr>
      <w:r w:rsidRPr="00563848">
        <w:rPr>
          <w:lang w:val="de-DE"/>
        </w:rPr>
        <w:t xml:space="preserve">[4] Zhang, Y. Crystal Structure Prediction for Cocrystals and Hydrates: Energy Models and Structure Generation. Ph.D. thesis, Imperial College London, 2023. </w:t>
      </w:r>
    </w:p>
    <w:p w14:paraId="0B682710" w14:textId="52B81A26" w:rsidR="0058453E" w:rsidRDefault="00C8774C" w:rsidP="00EF6C80">
      <w:pPr>
        <w:pStyle w:val="Heading4"/>
      </w:pPr>
      <w:r w:rsidRPr="00563848">
        <w:rPr>
          <w:lang w:val="de-DE"/>
        </w:rPr>
        <w:t xml:space="preserve">[5] Tomasi, J.; Mennucci, B.; Cammi, R. Quantum Mechanical Continuum Solvation Models. </w:t>
      </w:r>
      <w:r w:rsidRPr="00707804">
        <w:rPr>
          <w:i/>
          <w:iCs/>
          <w:lang w:val="de-DE"/>
        </w:rPr>
        <w:t>Chemical Reviews</w:t>
      </w:r>
      <w:r w:rsidRPr="00563848">
        <w:rPr>
          <w:lang w:val="de-DE"/>
        </w:rPr>
        <w:t xml:space="preserve"> </w:t>
      </w:r>
      <w:r w:rsidRPr="003D31CA">
        <w:rPr>
          <w:b/>
          <w:bCs w:val="0"/>
          <w:lang w:val="de-DE"/>
        </w:rPr>
        <w:t>2005</w:t>
      </w:r>
      <w:r w:rsidRPr="00563848">
        <w:rPr>
          <w:lang w:val="de-DE"/>
        </w:rPr>
        <w:t xml:space="preserve">, </w:t>
      </w:r>
      <w:r w:rsidRPr="00707804">
        <w:rPr>
          <w:i/>
          <w:iCs/>
          <w:lang w:val="de-DE"/>
        </w:rPr>
        <w:t>105</w:t>
      </w:r>
      <w:r w:rsidRPr="00563848">
        <w:rPr>
          <w:lang w:val="de-DE"/>
        </w:rPr>
        <w:t>, 2999–3094.</w:t>
      </w:r>
    </w:p>
    <w:sectPr w:rsidR="0058453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2495" w14:textId="77777777" w:rsidR="00DF5DDB" w:rsidRDefault="00DF5DDB">
      <w:pPr>
        <w:spacing w:after="0"/>
      </w:pPr>
      <w:r>
        <w:separator/>
      </w:r>
    </w:p>
  </w:endnote>
  <w:endnote w:type="continuationSeparator" w:id="0">
    <w:p w14:paraId="0EB549EA" w14:textId="77777777" w:rsidR="00DF5DDB" w:rsidRDefault="00DF5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0448" w14:textId="77777777" w:rsidR="004E6A01" w:rsidRDefault="004E25C2">
    <w:pPr>
      <w:pStyle w:val="Footer"/>
    </w:pPr>
    <w:r>
      <w:t>Acta Cryst. (2025). A81, e1</w:t>
    </w:r>
  </w:p>
  <w:p w14:paraId="200A0449" w14:textId="77777777" w:rsidR="004E6A01" w:rsidRDefault="004E6A01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215F" w14:textId="77777777" w:rsidR="00DF5DDB" w:rsidRDefault="00DF5DDB">
      <w:pPr>
        <w:spacing w:after="0"/>
      </w:pPr>
      <w:r>
        <w:separator/>
      </w:r>
    </w:p>
  </w:footnote>
  <w:footnote w:type="continuationSeparator" w:id="0">
    <w:p w14:paraId="575A3BA1" w14:textId="77777777" w:rsidR="00DF5DDB" w:rsidRDefault="00DF5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0447" w14:textId="5E370DA8" w:rsidR="004E6A01" w:rsidRDefault="004E25C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 w:rsidR="00094229">
      <w:rPr>
        <w:b/>
        <w:bCs/>
      </w:rPr>
      <w:t xml:space="preserve">M43: </w:t>
    </w:r>
    <w:r w:rsidR="00094229" w:rsidRPr="00094229">
      <w:rPr>
        <w:b/>
        <w:bCs/>
        <w:i/>
        <w:iCs/>
      </w:rPr>
      <w:t>Simulating and predicting structure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A01"/>
    <w:rsid w:val="00094185"/>
    <w:rsid w:val="00094229"/>
    <w:rsid w:val="00094B3E"/>
    <w:rsid w:val="00097D9F"/>
    <w:rsid w:val="000A34A9"/>
    <w:rsid w:val="000B4DC6"/>
    <w:rsid w:val="000B7996"/>
    <w:rsid w:val="000D25B2"/>
    <w:rsid w:val="000E4687"/>
    <w:rsid w:val="00100B96"/>
    <w:rsid w:val="00131CF1"/>
    <w:rsid w:val="00133C8A"/>
    <w:rsid w:val="00144DBE"/>
    <w:rsid w:val="00146E3B"/>
    <w:rsid w:val="00162369"/>
    <w:rsid w:val="001A4B58"/>
    <w:rsid w:val="001D7BC7"/>
    <w:rsid w:val="002368C3"/>
    <w:rsid w:val="00244800"/>
    <w:rsid w:val="00271774"/>
    <w:rsid w:val="002719C7"/>
    <w:rsid w:val="002775AC"/>
    <w:rsid w:val="00281188"/>
    <w:rsid w:val="0029119D"/>
    <w:rsid w:val="002A213C"/>
    <w:rsid w:val="002C0EFD"/>
    <w:rsid w:val="002D43FD"/>
    <w:rsid w:val="002F03BB"/>
    <w:rsid w:val="002F272E"/>
    <w:rsid w:val="0031026D"/>
    <w:rsid w:val="00341896"/>
    <w:rsid w:val="00361E98"/>
    <w:rsid w:val="00394474"/>
    <w:rsid w:val="003C2334"/>
    <w:rsid w:val="003D31CA"/>
    <w:rsid w:val="003F1339"/>
    <w:rsid w:val="003F299A"/>
    <w:rsid w:val="004014A5"/>
    <w:rsid w:val="004429BF"/>
    <w:rsid w:val="00444E79"/>
    <w:rsid w:val="00482024"/>
    <w:rsid w:val="00493024"/>
    <w:rsid w:val="004A00EF"/>
    <w:rsid w:val="004B4355"/>
    <w:rsid w:val="004D0291"/>
    <w:rsid w:val="004D429F"/>
    <w:rsid w:val="004E2597"/>
    <w:rsid w:val="004E25C2"/>
    <w:rsid w:val="004E4E3B"/>
    <w:rsid w:val="004E6A01"/>
    <w:rsid w:val="00524615"/>
    <w:rsid w:val="0054578B"/>
    <w:rsid w:val="00563848"/>
    <w:rsid w:val="00580917"/>
    <w:rsid w:val="0058453E"/>
    <w:rsid w:val="00586170"/>
    <w:rsid w:val="005C3EFA"/>
    <w:rsid w:val="005C6937"/>
    <w:rsid w:val="006345A3"/>
    <w:rsid w:val="006560A2"/>
    <w:rsid w:val="00667090"/>
    <w:rsid w:val="006A2783"/>
    <w:rsid w:val="006A51F7"/>
    <w:rsid w:val="00703889"/>
    <w:rsid w:val="007039FC"/>
    <w:rsid w:val="00707804"/>
    <w:rsid w:val="00742D31"/>
    <w:rsid w:val="00746FF1"/>
    <w:rsid w:val="00751828"/>
    <w:rsid w:val="00772E13"/>
    <w:rsid w:val="00777009"/>
    <w:rsid w:val="007826A0"/>
    <w:rsid w:val="00790EF6"/>
    <w:rsid w:val="007A4107"/>
    <w:rsid w:val="007C1233"/>
    <w:rsid w:val="00811FB9"/>
    <w:rsid w:val="00817587"/>
    <w:rsid w:val="00822147"/>
    <w:rsid w:val="00830596"/>
    <w:rsid w:val="00832BED"/>
    <w:rsid w:val="00846D13"/>
    <w:rsid w:val="00871E45"/>
    <w:rsid w:val="0088788F"/>
    <w:rsid w:val="008A002B"/>
    <w:rsid w:val="008B3CC2"/>
    <w:rsid w:val="008C7478"/>
    <w:rsid w:val="008E4FBB"/>
    <w:rsid w:val="008E6C82"/>
    <w:rsid w:val="008F3BEC"/>
    <w:rsid w:val="00900845"/>
    <w:rsid w:val="0091071A"/>
    <w:rsid w:val="009160E3"/>
    <w:rsid w:val="00921AEC"/>
    <w:rsid w:val="0094344D"/>
    <w:rsid w:val="0094773C"/>
    <w:rsid w:val="0095105C"/>
    <w:rsid w:val="0096263A"/>
    <w:rsid w:val="00967E2A"/>
    <w:rsid w:val="00980BB8"/>
    <w:rsid w:val="009B4F3F"/>
    <w:rsid w:val="009B529B"/>
    <w:rsid w:val="009C4B4B"/>
    <w:rsid w:val="009C5C96"/>
    <w:rsid w:val="009C751C"/>
    <w:rsid w:val="009D124B"/>
    <w:rsid w:val="00A13E22"/>
    <w:rsid w:val="00A43304"/>
    <w:rsid w:val="00A6675D"/>
    <w:rsid w:val="00AA003E"/>
    <w:rsid w:val="00AA577E"/>
    <w:rsid w:val="00AE1765"/>
    <w:rsid w:val="00B014A0"/>
    <w:rsid w:val="00B568C6"/>
    <w:rsid w:val="00B619E2"/>
    <w:rsid w:val="00B74791"/>
    <w:rsid w:val="00B80FBE"/>
    <w:rsid w:val="00B94B25"/>
    <w:rsid w:val="00BD0733"/>
    <w:rsid w:val="00BE7651"/>
    <w:rsid w:val="00C01F2C"/>
    <w:rsid w:val="00C0366D"/>
    <w:rsid w:val="00C17FC9"/>
    <w:rsid w:val="00C23AFD"/>
    <w:rsid w:val="00C26C6A"/>
    <w:rsid w:val="00C30B5F"/>
    <w:rsid w:val="00C366F7"/>
    <w:rsid w:val="00C61544"/>
    <w:rsid w:val="00C72279"/>
    <w:rsid w:val="00C77B97"/>
    <w:rsid w:val="00C8774C"/>
    <w:rsid w:val="00C919F3"/>
    <w:rsid w:val="00CB4C91"/>
    <w:rsid w:val="00CB5F99"/>
    <w:rsid w:val="00CE14EC"/>
    <w:rsid w:val="00CF1733"/>
    <w:rsid w:val="00D20F85"/>
    <w:rsid w:val="00D23609"/>
    <w:rsid w:val="00D52CE8"/>
    <w:rsid w:val="00D676D3"/>
    <w:rsid w:val="00D71BCA"/>
    <w:rsid w:val="00DB35A2"/>
    <w:rsid w:val="00DC2751"/>
    <w:rsid w:val="00DE28F4"/>
    <w:rsid w:val="00DE6D19"/>
    <w:rsid w:val="00DE7B57"/>
    <w:rsid w:val="00DF110A"/>
    <w:rsid w:val="00DF1E59"/>
    <w:rsid w:val="00DF5DDB"/>
    <w:rsid w:val="00E000CB"/>
    <w:rsid w:val="00E13E4B"/>
    <w:rsid w:val="00E375E1"/>
    <w:rsid w:val="00E41DC1"/>
    <w:rsid w:val="00E42D9B"/>
    <w:rsid w:val="00E464C6"/>
    <w:rsid w:val="00E651AC"/>
    <w:rsid w:val="00E665AC"/>
    <w:rsid w:val="00EC736A"/>
    <w:rsid w:val="00EE2D1E"/>
    <w:rsid w:val="00EF6C80"/>
    <w:rsid w:val="00EF7242"/>
    <w:rsid w:val="00F0622C"/>
    <w:rsid w:val="00F37372"/>
    <w:rsid w:val="00F41D21"/>
    <w:rsid w:val="00F55F55"/>
    <w:rsid w:val="00F5779C"/>
    <w:rsid w:val="00F6145C"/>
    <w:rsid w:val="00F671D1"/>
    <w:rsid w:val="00F72FF8"/>
    <w:rsid w:val="00F922C9"/>
    <w:rsid w:val="00F961AA"/>
    <w:rsid w:val="00FA296F"/>
    <w:rsid w:val="00FA450F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042F"/>
  <w15:docId w15:val="{184D790D-C87D-4951-8C47-9F92E9C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774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8774C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72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E13"/>
  </w:style>
  <w:style w:type="character" w:customStyle="1" w:styleId="CommentTextChar">
    <w:name w:val="Comment Text Char"/>
    <w:link w:val="CommentText"/>
    <w:uiPriority w:val="99"/>
    <w:rsid w:val="00772E13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2E1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817@ic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693</Words>
  <Characters>3954</Characters>
  <Application>Microsoft Office Word</Application>
  <DocSecurity>0</DocSecurity>
  <Lines>32</Lines>
  <Paragraphs>9</Paragraphs>
  <ScaleCrop>false</ScaleCrop>
  <Company>MFF UK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Tan, Benjamin</cp:lastModifiedBy>
  <cp:revision>176</cp:revision>
  <dcterms:created xsi:type="dcterms:W3CDTF">2019-09-04T15:26:00Z</dcterms:created>
  <dcterms:modified xsi:type="dcterms:W3CDTF">2025-05-04T11:34:00Z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