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0A58D" w14:textId="778EAC69" w:rsidR="002B4C55" w:rsidRDefault="00560AE4">
      <w:pPr>
        <w:pStyle w:val="Heading1"/>
      </w:pPr>
      <w:r w:rsidRPr="00560AE4">
        <w:t>Azolate Coordination Networks for Adsorptive Purification of Light Hydrocarbons</w:t>
      </w:r>
    </w:p>
    <w:p w14:paraId="6290A58E" w14:textId="1E81938B" w:rsidR="002B4C55" w:rsidRDefault="00B62D1D" w:rsidP="000B4062">
      <w:pPr>
        <w:pStyle w:val="Heading2"/>
        <w:spacing w:before="0"/>
      </w:pPr>
      <w:r>
        <w:t>S. Mukherjee</w:t>
      </w:r>
      <w:r>
        <w:rPr>
          <w:vertAlign w:val="superscript"/>
        </w:rPr>
        <w:t>1</w:t>
      </w:r>
    </w:p>
    <w:p w14:paraId="6290A58F" w14:textId="3FCD5FE9" w:rsidR="002B4C55" w:rsidRPr="007937EE" w:rsidRDefault="00E012A3" w:rsidP="000B4062">
      <w:pPr>
        <w:pStyle w:val="Heading3"/>
        <w:spacing w:after="0"/>
      </w:pPr>
      <w:r>
        <w:rPr>
          <w:vertAlign w:val="superscript"/>
        </w:rPr>
        <w:t>1</w:t>
      </w:r>
      <w:r w:rsidR="004D4BFA" w:rsidRPr="004D4BFA">
        <w:t xml:space="preserve">Department of Chemical Sciences, Bernal Institute </w:t>
      </w:r>
      <w:r w:rsidR="004D4BFA" w:rsidRPr="007937EE">
        <w:t>and Research Ireland Centre for Pharmaceuticals (SSPC), University of Limerick, Limerick V94 T9PX, Ireland</w:t>
      </w:r>
    </w:p>
    <w:p w14:paraId="6290A590" w14:textId="1C2C271D" w:rsidR="002B4C55" w:rsidRPr="007937EE" w:rsidRDefault="004D4BFA">
      <w:pPr>
        <w:pStyle w:val="Heading3"/>
        <w:rPr>
          <w:sz w:val="18"/>
          <w:szCs w:val="18"/>
        </w:rPr>
      </w:pPr>
      <w:r w:rsidRPr="007937EE">
        <w:t xml:space="preserve">Email: </w:t>
      </w:r>
      <w:hyperlink r:id="rId8" w:history="1">
        <w:r w:rsidRPr="007937EE">
          <w:rPr>
            <w:rStyle w:val="Hyperlink"/>
            <w:color w:val="auto"/>
          </w:rPr>
          <w:t>Soumya.Mukherjee@ul.ie</w:t>
        </w:r>
      </w:hyperlink>
    </w:p>
    <w:p w14:paraId="6290A594" w14:textId="092364BD" w:rsidR="002B4C55" w:rsidRDefault="00C45D1D">
      <w:pPr>
        <w:rPr>
          <w:vertAlign w:val="superscript"/>
        </w:rPr>
      </w:pPr>
      <w:r w:rsidRPr="00D46707">
        <w:t xml:space="preserve">State-of-the-art for commodity purifications, </w:t>
      </w:r>
      <w:r w:rsidRPr="00D46707">
        <w:rPr>
          <w:i/>
          <w:iCs/>
        </w:rPr>
        <w:t>e.g.</w:t>
      </w:r>
      <w:r w:rsidRPr="00D46707">
        <w:t>, cleaning commodity chemicals, air, and water is highly energy-intensive. Traditional physisorbents, including zeolites, and &gt;100,000 metal-organic frameworks (MOFs, composed of organic ligands) can reduce this energy footprint, but are limited by cost, performance and/or stability issues.</w:t>
      </w:r>
      <w:r w:rsidR="008325F1">
        <w:fldChar w:fldCharType="begin"/>
      </w:r>
      <w:r w:rsidR="008325F1">
        <w:instrText xml:space="preserve"> ADDIN EN.CITE &lt;EndNote&gt;&lt;Cite&gt;&lt;Author&gt;Barsoum&lt;/Author&gt;&lt;Year&gt;2025&lt;/Year&gt;&lt;RecNum&gt;1&lt;/RecNum&gt;&lt;DisplayText&gt;[1]&lt;/DisplayText&gt;&lt;record&gt;&lt;rec-number&gt;1&lt;/rec-number&gt;&lt;foreign-keys&gt;&lt;key app="EN" db-id="extdxa0v35adfwe0ds95a2fdtrztrpsrtrpv" timestamp="1751314743"&gt;1&lt;/key&gt;&lt;/foreign-keys&gt;&lt;ref-type name="Journal Article"&gt;17&lt;/ref-type&gt;&lt;contributors&gt;&lt;authors&gt;&lt;author&gt;Barsoum, Michael L.&lt;/author&gt;&lt;author&gt;Fahy, Kira M.&lt;/author&gt;&lt;author&gt;Morris, William&lt;/author&gt;&lt;author&gt;Dravid, Vinayak P.&lt;/author&gt;&lt;author&gt;Hernandez, Benjamin&lt;/author&gt;&lt;author&gt;Farha, Omar K.&lt;/author&gt;&lt;/authors&gt;&lt;/contributors&gt;&lt;titles&gt;&lt;title&gt;The Road Ahead for Metal–Organic Frameworks: Current Landscape, Challenges and Future Prospects&lt;/title&gt;&lt;secondary-title&gt;ACS Nano&lt;/secondary-title&gt;&lt;/titles&gt;&lt;periodical&gt;&lt;full-title&gt;ACS Nano&lt;/full-title&gt;&lt;/periodical&gt;&lt;pages&gt;13-20&lt;/pages&gt;&lt;volume&gt;19&lt;/volume&gt;&lt;number&gt;1&lt;/number&gt;&lt;dates&gt;&lt;year&gt;2025&lt;/year&gt;&lt;pub-dates&gt;&lt;date&gt;2025/01/14&lt;/date&gt;&lt;/pub-dates&gt;&lt;/dates&gt;&lt;publisher&gt;American Chemical Society&lt;/publisher&gt;&lt;isbn&gt;1936-0851&lt;/isbn&gt;&lt;urls&gt;&lt;related-urls&gt;&lt;url&gt;https://doi.org/10.1021/acsnano.4c14744&lt;/url&gt;&lt;/related-urls&gt;&lt;/urls&gt;&lt;electronic-resource-num&gt;10.1021/acsnano.4c14744&lt;/electronic-resource-num&gt;&lt;/record&gt;&lt;/Cite&gt;&lt;/EndNote&gt;</w:instrText>
      </w:r>
      <w:r w:rsidR="008325F1">
        <w:fldChar w:fldCharType="separate"/>
      </w:r>
      <w:r w:rsidR="008325F1">
        <w:rPr>
          <w:noProof/>
        </w:rPr>
        <w:t>[1]</w:t>
      </w:r>
      <w:r w:rsidR="008325F1">
        <w:fldChar w:fldCharType="end"/>
      </w:r>
      <w:r w:rsidRPr="00D46707">
        <w:t xml:space="preserve"> To address this, our group is developing a new class of energy-efficient azolate coordination networks that feature “</w:t>
      </w:r>
      <w:r w:rsidRPr="00D46707">
        <w:rPr>
          <w:i/>
          <w:iCs/>
        </w:rPr>
        <w:t>the best of both Worlds</w:t>
      </w:r>
      <w:r w:rsidRPr="00D46707">
        <w:t>”: A) inorganic ligands and azolates-derived hybrid compositions that offer electrostatically strong binding sites for gas sorbates like carbon dioxide and light hydrocarbons (</w:t>
      </w:r>
      <w:r w:rsidRPr="00D46707">
        <w:rPr>
          <w:i/>
          <w:iCs/>
        </w:rPr>
        <w:t>e.g.</w:t>
      </w:r>
      <w:r w:rsidRPr="00D46707">
        <w:t xml:space="preserve">, acetylene, propyne); B) ultramicropores, </w:t>
      </w:r>
      <w:r w:rsidRPr="00D46707">
        <w:rPr>
          <w:i/>
          <w:iCs/>
        </w:rPr>
        <w:t>i.e.</w:t>
      </w:r>
      <w:r w:rsidRPr="00D46707">
        <w:t>, narrow pore sizes &lt; 0.7 nm, ideal for tightly binding to the foregoing sorbates of relevance.</w:t>
      </w:r>
      <w:r w:rsidR="00334A86">
        <w:fldChar w:fldCharType="begin"/>
      </w:r>
      <w:r w:rsidR="00334A86">
        <w:instrText xml:space="preserve"> ADDIN EN.CITE &lt;EndNote&gt;&lt;Cite&gt;&lt;Author&gt;Mukherjee&lt;/Author&gt;&lt;Year&gt;2020&lt;/Year&gt;&lt;RecNum&gt;2&lt;/RecNum&gt;&lt;DisplayText&gt;[2]&lt;/DisplayText&gt;&lt;record&gt;&lt;rec-number&gt;2&lt;/rec-number&gt;&lt;foreign-keys&gt;&lt;key app="EN" db-id="extdxa0v35adfwe0ds95a2fdtrztrpsrtrpv" timestamp="1751315341"&gt;2&lt;/key&gt;&lt;/foreign-keys&gt;&lt;ref-type name="Journal Article"&gt;17&lt;/ref-type&gt;&lt;contributors&gt;&lt;authors&gt;&lt;author&gt;Mukherjee, Soumya&lt;/author&gt;&lt;author&gt;Zaworotko, Michael J.&lt;/author&gt;&lt;/authors&gt;&lt;/contributors&gt;&lt;titles&gt;&lt;title&gt;Crystal Engineering of Hybrid Coordination Networks: From Form to Function&lt;/title&gt;&lt;secondary-title&gt;Trends in Chemistry&lt;/secondary-title&gt;&lt;/titles&gt;&lt;periodical&gt;&lt;full-title&gt;Trends in Chemistry&lt;/full-title&gt;&lt;/periodical&gt;&lt;pages&gt;506-518&lt;/pages&gt;&lt;volume&gt;2&lt;/volume&gt;&lt;number&gt;6&lt;/number&gt;&lt;dates&gt;&lt;year&gt;2020&lt;/year&gt;&lt;/dates&gt;&lt;publisher&gt;Elsevier&lt;/publisher&gt;&lt;isbn&gt;2589-7209&lt;/isbn&gt;&lt;urls&gt;&lt;related-urls&gt;&lt;url&gt;https://doi.org/10.1016/j.trechm.2020.02.013&lt;/url&gt;&lt;/related-urls&gt;&lt;/urls&gt;&lt;electronic-resource-num&gt;10.1016/j.trechm.2020.02.013&lt;/electronic-resource-num&gt;&lt;access-date&gt;2025/06/30&lt;/access-date&gt;&lt;/record&gt;&lt;/Cite&gt;&lt;/EndNote&gt;</w:instrText>
      </w:r>
      <w:r w:rsidR="00334A86">
        <w:fldChar w:fldCharType="separate"/>
      </w:r>
      <w:r w:rsidR="00334A86">
        <w:rPr>
          <w:noProof/>
        </w:rPr>
        <w:t>[2]</w:t>
      </w:r>
      <w:r w:rsidR="00334A86">
        <w:fldChar w:fldCharType="end"/>
      </w:r>
      <w:r w:rsidRPr="00D46707">
        <w:t xml:space="preserve"> Amenability to bottom-up design approaches along both aspects, following the first principles of crystal engineering is poised to deliver (and control) several high-volume gas/water purifications.</w:t>
      </w:r>
      <w:r w:rsidR="00676BD9">
        <w:fldChar w:fldCharType="begin"/>
      </w:r>
      <w:r w:rsidR="00676BD9">
        <w:instrText xml:space="preserve"> ADDIN EN.CITE &lt;EndNote&gt;&lt;Cite&gt;&lt;Author&gt;Braga&lt;/Author&gt;&lt;Year&gt;2023&lt;/Year&gt;&lt;RecNum&gt;3&lt;/RecNum&gt;&lt;DisplayText&gt;[3]&lt;/DisplayText&gt;&lt;record&gt;&lt;rec-number&gt;3&lt;/rec-number&gt;&lt;foreign-keys&gt;&lt;key app="EN" db-id="extdxa0v35adfwe0ds95a2fdtrztrpsrtrpv" timestamp="1751315388"&gt;3&lt;/key&gt;&lt;/foreign-keys&gt;&lt;ref-type name="Journal Article"&gt;17&lt;/ref-type&gt;&lt;contributors&gt;&lt;authors&gt;&lt;author&gt;Braga, Dario&lt;/author&gt;&lt;/authors&gt;&lt;/contributors&gt;&lt;titles&gt;&lt;title&gt;Crystal engineering: from promise to delivery&lt;/title&gt;&lt;secondary-title&gt;Chemical Communications&lt;/secondary-title&gt;&lt;/titles&gt;&lt;periodical&gt;&lt;full-title&gt;Chemical Communications&lt;/full-title&gt;&lt;/periodical&gt;&lt;pages&gt;14052-14062&lt;/pages&gt;&lt;volume&gt;59&lt;/volume&gt;&lt;number&gt;95&lt;/number&gt;&lt;dates&gt;&lt;year&gt;2023&lt;/year&gt;&lt;/dates&gt;&lt;publisher&gt;The Royal Society of Chemistry&lt;/publisher&gt;&lt;isbn&gt;1359-7345&lt;/isbn&gt;&lt;work-type&gt;10.1039/D3CC04313D&lt;/work-type&gt;&lt;urls&gt;&lt;related-urls&gt;&lt;url&gt;http://dx.doi.org/10.1039/D3CC04313D&lt;/url&gt;&lt;/related-urls&gt;&lt;/urls&gt;&lt;electronic-resource-num&gt;10.1039/D3CC04313D&lt;/electronic-resource-num&gt;&lt;/record&gt;&lt;/Cite&gt;&lt;/EndNote&gt;</w:instrText>
      </w:r>
      <w:r w:rsidR="00676BD9">
        <w:fldChar w:fldCharType="separate"/>
      </w:r>
      <w:r w:rsidR="00676BD9">
        <w:rPr>
          <w:noProof/>
        </w:rPr>
        <w:t>[3]</w:t>
      </w:r>
      <w:r w:rsidR="00676BD9">
        <w:fldChar w:fldCharType="end"/>
      </w:r>
      <w:r w:rsidRPr="00D46707">
        <w:t xml:space="preserve"> In this context, we have developed an isostructural family of four previously unreported azolate coordination networks, ACNs,</w:t>
      </w:r>
      <w:r w:rsidR="00D77DCA">
        <w:fldChar w:fldCharType="begin"/>
      </w:r>
      <w:r w:rsidR="00D77DCA">
        <w:instrText xml:space="preserve"> ADDIN EN.CITE &lt;EndNote&gt;&lt;Cite&gt;&lt;Author&gt;Zhang&lt;/Author&gt;&lt;Year&gt;2012&lt;/Year&gt;&lt;RecNum&gt;5&lt;/RecNum&gt;&lt;DisplayText&gt;[4]&lt;/DisplayText&gt;&lt;record&gt;&lt;rec-number&gt;5&lt;/rec-number&gt;&lt;foreign-keys&gt;&lt;key app="EN" db-id="extdxa0v35adfwe0ds95a2fdtrztrpsrtrpv" timestamp="1751315446"&gt;5&lt;/key&gt;&lt;/foreign-keys&gt;&lt;ref-type name="Journal Article"&gt;17&lt;/ref-type&gt;&lt;contributors&gt;&lt;authors&gt;&lt;author&gt;Zhang, Jie-Peng&lt;/author&gt;&lt;author&gt;Zhang, Yue-Biao&lt;/author&gt;&lt;author&gt;Lin, Jian-Bin&lt;/author&gt;&lt;author&gt;Chen, Xiao-Ming&lt;/author&gt;&lt;/authors&gt;&lt;/contributors&gt;&lt;titles&gt;&lt;title&gt;Metal Azolate Frameworks: From Crystal Engineering to Functional Materials&lt;/title&gt;&lt;secondary-title&gt;Chemical Reviews&lt;/secondary-title&gt;&lt;/titles&gt;&lt;periodical&gt;&lt;full-title&gt;Chemical Reviews&lt;/full-title&gt;&lt;/periodical&gt;&lt;pages&gt;1001-1033&lt;/pages&gt;&lt;volume&gt;112&lt;/volume&gt;&lt;number&gt;2&lt;/number&gt;&lt;dates&gt;&lt;year&gt;2012&lt;/year&gt;&lt;pub-dates&gt;&lt;date&gt;2012/02/08&lt;/date&gt;&lt;/pub-dates&gt;&lt;/dates&gt;&lt;publisher&gt;American Chemical Society&lt;/publisher&gt;&lt;isbn&gt;0009-2665&lt;/isbn&gt;&lt;urls&gt;&lt;related-urls&gt;&lt;url&gt;https://doi.org/10.1021/cr200139g&lt;/url&gt;&lt;/related-urls&gt;&lt;/urls&gt;&lt;electronic-resource-num&gt;10.1021/cr200139g&lt;/electronic-resource-num&gt;&lt;/record&gt;&lt;/Cite&gt;&lt;/EndNote&gt;</w:instrText>
      </w:r>
      <w:r w:rsidR="00D77DCA">
        <w:fldChar w:fldCharType="separate"/>
      </w:r>
      <w:r w:rsidR="00D77DCA">
        <w:rPr>
          <w:noProof/>
        </w:rPr>
        <w:t>[4]</w:t>
      </w:r>
      <w:r w:rsidR="00D77DCA">
        <w:fldChar w:fldCharType="end"/>
      </w:r>
      <w:r w:rsidRPr="00D46707">
        <w:t xml:space="preserve"> and examined their CO</w:t>
      </w:r>
      <w:r w:rsidRPr="00D46707">
        <w:rPr>
          <w:vertAlign w:val="subscript"/>
        </w:rPr>
        <w:t>2</w:t>
      </w:r>
      <w:r w:rsidRPr="00D46707">
        <w:t xml:space="preserve"> and C</w:t>
      </w:r>
      <w:r w:rsidRPr="00D46707">
        <w:rPr>
          <w:vertAlign w:val="subscript"/>
        </w:rPr>
        <w:t>2</w:t>
      </w:r>
      <w:r w:rsidRPr="00D46707">
        <w:t>H</w:t>
      </w:r>
      <w:r w:rsidRPr="00D46707">
        <w:rPr>
          <w:vertAlign w:val="subscript"/>
        </w:rPr>
        <w:t>2</w:t>
      </w:r>
      <w:r w:rsidRPr="00D46707">
        <w:t xml:space="preserve"> affinities through gas adsorption studies. Built from a tetrazole-pyridyl ligand, M'F</w:t>
      </w:r>
      <w:r w:rsidRPr="00D46707">
        <w:rPr>
          <w:vertAlign w:val="subscript"/>
        </w:rPr>
        <w:t>6</w:t>
      </w:r>
      <w:r w:rsidRPr="00D46707">
        <w:rPr>
          <w:vertAlign w:val="superscript"/>
        </w:rPr>
        <w:t>2-</w:t>
      </w:r>
      <w:r w:rsidRPr="00D46707">
        <w:t xml:space="preserve"> (M' = Si, Ge, Ti, and Zr) anionic pillars, and Cu(II), these three-dimensional (3D) </w:t>
      </w:r>
      <w:r w:rsidRPr="00D46707">
        <w:rPr>
          <w:b/>
          <w:bCs/>
          <w:i/>
          <w:iCs/>
        </w:rPr>
        <w:t xml:space="preserve">pcu </w:t>
      </w:r>
      <w:r w:rsidRPr="00D46707">
        <w:t>topology ACNs demonstrate transient porosity.</w:t>
      </w:r>
      <w:r w:rsidR="00226DAF">
        <w:fldChar w:fldCharType="begin">
          <w:fldData xml:space="preserve">PEVuZE5vdGU+PENpdGU+PEF1dGhvcj5Lb3VwZXBpZG91PC9BdXRob3I+PFllYXI+MjAyNTwvWWVh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</w:fldData>
        </w:fldChar>
      </w:r>
      <w:r w:rsidR="00A14640">
        <w:instrText xml:space="preserve"> ADDIN EN.CITE </w:instrText>
      </w:r>
      <w:r w:rsidR="00A14640">
        <w:fldChar w:fldCharType="begin">
          <w:fldData xml:space="preserve">PEVuZE5vdGU+PENpdGU+PEF1dGhvcj5Lb3VwZXBpZG91PC9BdXRob3I+PFllYXI+MjAyNTwvWWVh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</w:fldData>
        </w:fldChar>
      </w:r>
      <w:r w:rsidR="00A14640">
        <w:instrText xml:space="preserve"> ADDIN EN.CITE.DATA </w:instrText>
      </w:r>
      <w:r w:rsidR="00A14640">
        <w:fldChar w:fldCharType="end"/>
      </w:r>
      <w:r w:rsidR="00226DAF">
        <w:fldChar w:fldCharType="separate"/>
      </w:r>
      <w:r w:rsidR="00A14640">
        <w:rPr>
          <w:noProof/>
        </w:rPr>
        <w:t>[5, 6]</w:t>
      </w:r>
      <w:r w:rsidR="00226DAF">
        <w:fldChar w:fldCharType="end"/>
      </w:r>
      <w:r w:rsidRPr="00D46707">
        <w:t xml:space="preserve"> Despite the absence of guest-accessible channels along their structures, the activated ACNs exhibit A) clear temperature-independent microporosity to CO</w:t>
      </w:r>
      <w:r w:rsidRPr="00D46707">
        <w:rPr>
          <w:vertAlign w:val="subscript"/>
        </w:rPr>
        <w:t>2</w:t>
      </w:r>
      <w:r w:rsidRPr="00D46707">
        <w:t>; B) temperature-dependent microporosity to C</w:t>
      </w:r>
      <w:r w:rsidRPr="00D46707">
        <w:rPr>
          <w:vertAlign w:val="subscript"/>
        </w:rPr>
        <w:t>2</w:t>
      </w:r>
      <w:r w:rsidRPr="00D46707">
        <w:t>H</w:t>
      </w:r>
      <w:r w:rsidRPr="00D46707">
        <w:rPr>
          <w:vertAlign w:val="subscript"/>
        </w:rPr>
        <w:t>2</w:t>
      </w:r>
      <w:r w:rsidRPr="00D46707">
        <w:t xml:space="preserve"> (only under ambient conditions, but not under cryogenic conditions). The latter anomalous sorption trend for C</w:t>
      </w:r>
      <w:r w:rsidRPr="00D46707">
        <w:rPr>
          <w:vertAlign w:val="subscript"/>
        </w:rPr>
        <w:t>2</w:t>
      </w:r>
      <w:r w:rsidRPr="00D46707">
        <w:t>H</w:t>
      </w:r>
      <w:r w:rsidRPr="00D46707">
        <w:rPr>
          <w:vertAlign w:val="subscript"/>
        </w:rPr>
        <w:t>2</w:t>
      </w:r>
      <w:r w:rsidRPr="00D46707">
        <w:t xml:space="preserve">, alongside the rare example of transient porosity renders this case study an ideal potential blueprint to design temperature-regulated transiently porous and/or nonporous sorbent analogues of the future, by simply tweaking their compositions at will. On top of this, ongoing solid-state </w:t>
      </w:r>
      <w:r w:rsidRPr="00D46707">
        <w:rPr>
          <w:vertAlign w:val="superscript"/>
        </w:rPr>
        <w:t>13</w:t>
      </w:r>
      <w:r w:rsidRPr="00D46707">
        <w:t>C CP/MAS NMR results and molecular dynamics calculations have complemented our findings thus far.</w:t>
      </w:r>
      <w:r w:rsidR="003124A5">
        <w:t xml:space="preserve"> </w:t>
      </w:r>
      <w:r w:rsidRPr="00D46707">
        <w:t>Further, three new families of ACNs were developed from an azole-pyridyl mixed series of ligands: an imidazole, a triazole, and a tetrazole, a series along which nitrogen atoms were purposely increased one at a time. Whereas our in-house Cambridge structural database (CSD) survey suggests all three ligands are new,</w:t>
      </w:r>
      <w:r w:rsidR="004E07E8">
        <w:fldChar w:fldCharType="begin"/>
      </w:r>
      <w:r w:rsidR="004E07E8">
        <w:instrText xml:space="preserve"> ADDIN EN.CITE &lt;EndNote&gt;&lt;Cite&gt;&lt;Author&gt;Groom&lt;/Author&gt;&lt;Year&gt;2016&lt;/Year&gt;&lt;RecNum&gt;8&lt;/RecNum&gt;&lt;DisplayText&gt;[7]&lt;/DisplayText&gt;&lt;record&gt;&lt;rec-number&gt;8&lt;/rec-number&gt;&lt;foreign-keys&gt;&lt;key app="EN" db-id="extdxa0v35adfwe0ds95a2fdtrztrpsrtrpv" timestamp="1751315668"&gt;8&lt;/key&gt;&lt;/foreign-keys&gt;&lt;ref-type name="Journal Article"&gt;17&lt;/ref-type&gt;&lt;contributors&gt;&lt;authors&gt;&lt;author&gt;Groom, Colin R.,&lt;/author&gt;&lt;author&gt;Bruno, Ian J.,&lt;/author&gt;&lt;author&gt;Lightfoot, Matthew P.,&lt;/author&gt;&lt;author&gt;Ward, Suzanna C.,&lt;/author&gt;&lt;/authors&gt;&lt;/contributors&gt;&lt;titles&gt;&lt;title&gt;The Cambridge Structural Database&lt;/title&gt;&lt;secondary-title&gt;Acta Crystallographica Section B&lt;/secondary-title&gt;&lt;/titles&gt;&lt;periodical&gt;&lt;full-title&gt;Acta Crystallographica Section B&lt;/full-title&gt;&lt;/periodical&gt;&lt;pages&gt;171-179&lt;/pages&gt;&lt;volume&gt;72&lt;/volume&gt;&lt;number&gt;2&lt;/number&gt;&lt;keywords&gt;&lt;keyword&gt;Cambridge Structural Database&lt;/keyword&gt;&lt;keyword&gt;CIF archive&lt;/keyword&gt;&lt;keyword&gt;open data&lt;/keyword&gt;&lt;keyword&gt;crystal structure database&lt;/keyword&gt;&lt;/keywords&gt;&lt;dates&gt;&lt;year&gt;2016&lt;/year&gt;&lt;/dates&gt;&lt;isbn&gt;2052-5206&lt;/isbn&gt;&lt;urls&gt;&lt;related-urls&gt;&lt;url&gt;https://doi.org/10.1107/S2052520616003954&lt;/url&gt;&lt;/related-urls&gt;&lt;/urls&gt;&lt;electronic-resource-num&gt;doi:10.1107/S2052520616003954&lt;/electronic-resource-num&gt;&lt;/record&gt;&lt;/Cite&gt;&lt;/EndNote&gt;</w:instrText>
      </w:r>
      <w:r w:rsidR="004E07E8">
        <w:fldChar w:fldCharType="separate"/>
      </w:r>
      <w:r w:rsidR="004E07E8">
        <w:rPr>
          <w:noProof/>
        </w:rPr>
        <w:t>[7]</w:t>
      </w:r>
      <w:r w:rsidR="004E07E8">
        <w:fldChar w:fldCharType="end"/>
      </w:r>
      <w:r w:rsidR="004964AA">
        <w:t xml:space="preserve"> </w:t>
      </w:r>
      <w:r w:rsidRPr="00D46707">
        <w:t>all the resulting 3D ACNs exhibited high efficiency in light hydrocarbon separations, such as in C</w:t>
      </w:r>
      <w:r w:rsidRPr="00D46707">
        <w:rPr>
          <w:vertAlign w:val="subscript"/>
        </w:rPr>
        <w:t>3</w:t>
      </w:r>
      <w:r w:rsidRPr="00D46707">
        <w:t>H</w:t>
      </w:r>
      <w:r w:rsidRPr="00D46707">
        <w:rPr>
          <w:vertAlign w:val="subscript"/>
        </w:rPr>
        <w:t>4</w:t>
      </w:r>
      <w:r w:rsidRPr="00D46707">
        <w:t>/C</w:t>
      </w:r>
      <w:r w:rsidRPr="00D46707">
        <w:rPr>
          <w:vertAlign w:val="subscript"/>
        </w:rPr>
        <w:t>3</w:t>
      </w:r>
      <w:r w:rsidRPr="00D46707">
        <w:t>H</w:t>
      </w:r>
      <w:r w:rsidRPr="00D46707">
        <w:rPr>
          <w:vertAlign w:val="subscript"/>
        </w:rPr>
        <w:t>6</w:t>
      </w:r>
      <w:r w:rsidRPr="00D46707">
        <w:t>, C</w:t>
      </w:r>
      <w:r w:rsidRPr="00D46707">
        <w:rPr>
          <w:vertAlign w:val="subscript"/>
        </w:rPr>
        <w:t>3</w:t>
      </w:r>
      <w:r w:rsidRPr="00D46707">
        <w:t>H</w:t>
      </w:r>
      <w:r w:rsidRPr="00D46707">
        <w:rPr>
          <w:vertAlign w:val="subscript"/>
        </w:rPr>
        <w:t>6</w:t>
      </w:r>
      <w:r w:rsidRPr="00D46707">
        <w:t>/C</w:t>
      </w:r>
      <w:r w:rsidRPr="00D46707">
        <w:rPr>
          <w:vertAlign w:val="subscript"/>
        </w:rPr>
        <w:t>3</w:t>
      </w:r>
      <w:r w:rsidRPr="00D46707">
        <w:t>H</w:t>
      </w:r>
      <w:r w:rsidRPr="00D46707">
        <w:rPr>
          <w:vertAlign w:val="subscript"/>
        </w:rPr>
        <w:t>8</w:t>
      </w:r>
      <w:r w:rsidRPr="00D46707">
        <w:t xml:space="preserve"> and C</w:t>
      </w:r>
      <w:r w:rsidRPr="00D46707">
        <w:rPr>
          <w:vertAlign w:val="subscript"/>
        </w:rPr>
        <w:t>3</w:t>
      </w:r>
      <w:r w:rsidRPr="00D46707">
        <w:t>H</w:t>
      </w:r>
      <w:r w:rsidRPr="00D46707">
        <w:rPr>
          <w:vertAlign w:val="subscript"/>
        </w:rPr>
        <w:t>6</w:t>
      </w:r>
      <w:r w:rsidRPr="00D46707">
        <w:t>/C</w:t>
      </w:r>
      <w:r w:rsidRPr="00D46707">
        <w:rPr>
          <w:vertAlign w:val="subscript"/>
        </w:rPr>
        <w:t>2</w:t>
      </w:r>
      <w:r w:rsidRPr="00D46707">
        <w:t>H</w:t>
      </w:r>
      <w:r w:rsidRPr="00D46707">
        <w:rPr>
          <w:vertAlign w:val="subscript"/>
        </w:rPr>
        <w:t>4</w:t>
      </w:r>
      <w:r w:rsidRPr="00D46707">
        <w:t xml:space="preserve"> respectively. Thanks to the isoreticular ACN platform, light hydrocarbon separation performances were further optimised by modulating pore chemistry through anion variation. To this end, substitution of methyl (CH</w:t>
      </w:r>
      <w:r w:rsidRPr="00D46707">
        <w:rPr>
          <w:vertAlign w:val="subscript"/>
        </w:rPr>
        <w:t>3</w:t>
      </w:r>
      <w:r w:rsidRPr="00D46707">
        <w:t xml:space="preserve">) and fluorine (F) functionalities near the coordinating metal centres was found to directly control the ACNs’ dimensionality, affording 1D and 0D structures, respectively. Whereas the findings establish azole-pyridyl ligands' </w:t>
      </w:r>
      <w:r w:rsidR="009B77D7" w:rsidRPr="00D46707">
        <w:t>versatility</w:t>
      </w:r>
      <w:r w:rsidRPr="00D46707">
        <w:t xml:space="preserve"> in the crystal engineering of coordination networks, the foregoing examples entail a profound control of sorption properties stemming from direct control of their structures. This, in essence, underpins the vision of modern crystal engineering: controlling the functions by leveraging the control over forms</w:t>
      </w:r>
      <w:r w:rsidR="004E07E8">
        <w:t>.</w:t>
      </w:r>
      <w:r w:rsidR="004E07E8">
        <w:fldChar w:fldCharType="begin"/>
      </w:r>
      <w:r w:rsidR="000B72B3">
        <w:instrText xml:space="preserve"> ADDIN EN.CITE &lt;EndNote&gt;&lt;Cite&gt;&lt;Author&gt;Mukherjee&lt;/Author&gt;&lt;Year&gt;2020&lt;/Year&gt;&lt;RecNum&gt;2&lt;/RecNum&gt;&lt;DisplayText&gt;[2, 8]&lt;/DisplayText&gt;&lt;record&gt;&lt;rec-number&gt;2&lt;/rec-number&gt;&lt;foreign-keys&gt;&lt;key app="EN" db-id="extdxa0v35adfwe0ds95a2fdtrztrpsrtrpv" timestamp="1751315341"&gt;2&lt;/key&gt;&lt;/foreign-keys&gt;&lt;ref-type name="Journal Article"&gt;17&lt;/ref-type&gt;&lt;contributors&gt;&lt;authors&gt;&lt;author&gt;Mukherjee, Soumya&lt;/author&gt;&lt;author&gt;Zaworotko, Michael J.&lt;/author&gt;&lt;/authors&gt;&lt;/contributors&gt;&lt;titles&gt;&lt;title&gt;Crystal Engineering of Hybrid Coordination Networks: From Form to Function&lt;/title&gt;&lt;secondary-title&gt;Trends in Chemistry&lt;/secondary-title&gt;&lt;/titles&gt;&lt;periodical&gt;&lt;full-title&gt;Trends in Chemistry&lt;/full-title&gt;&lt;/periodical&gt;&lt;pages&gt;506-518&lt;/pages&gt;&lt;volume&gt;2&lt;/volume&gt;&lt;number&gt;6&lt;/number&gt;&lt;dates&gt;&lt;year&gt;2020&lt;/year&gt;&lt;/dates&gt;&lt;publisher&gt;Elsevier&lt;/publisher&gt;&lt;isbn&gt;2589-7209&lt;/isbn&gt;&lt;urls&gt;&lt;related-urls&gt;&lt;url&gt;https://doi.org/10.1016/j.trechm.2020.02.013&lt;/url&gt;&lt;/related-urls&gt;&lt;/urls&gt;&lt;electronic-resource-num&gt;10.1016/j.trechm.2020.02.013&lt;/electronic-resource-num&gt;&lt;access-date&gt;2025/06/30&lt;/access-date&gt;&lt;/record&gt;&lt;/Cite&gt;&lt;Cite&gt;&lt;Author&gt;Hollingsworth&lt;/Author&gt;&lt;Year&gt;2002&lt;/Year&gt;&lt;RecNum&gt;9&lt;/RecNum&gt;&lt;record&gt;&lt;rec-number&gt;9&lt;/rec-number&gt;&lt;foreign-keys&gt;&lt;key app="EN" db-id="extdxa0v35adfwe0ds95a2fdtrztrpsrtrpv" timestamp="1751315746"&gt;9&lt;/key&gt;&lt;/foreign-keys&gt;&lt;ref-type name="Journal Article"&gt;17&lt;/ref-type&gt;&lt;contributors&gt;&lt;authors&gt;&lt;author&gt;Hollingsworth, Mark D.&lt;/author&gt;&lt;/authors&gt;&lt;/contributors&gt;&lt;titles&gt;&lt;title&gt;Crystal Engineering: from Structure to Function&lt;/title&gt;&lt;secondary-title&gt;Science&lt;/secondary-title&gt;&lt;/titles&gt;&lt;periodical&gt;&lt;full-title&gt;Science&lt;/full-title&gt;&lt;/periodical&gt;&lt;pages&gt;2410-2413&lt;/pages&gt;&lt;volume&gt;295&lt;/volume&gt;&lt;number&gt;5564&lt;/number&gt;&lt;dates&gt;&lt;year&gt;2002&lt;/year&gt;&lt;/dates&gt;&lt;urls&gt;&lt;related-urls&gt;&lt;url&gt;https://www.science.org/doi/abs/10.1126/science.1070967&lt;/url&gt;&lt;/related-urls&gt;&lt;/urls&gt;&lt;electronic-resource-num&gt;doi:10.1126/science.1070967&lt;/electronic-resource-num&gt;&lt;/record&gt;&lt;/Cite&gt;&lt;/EndNote&gt;</w:instrText>
      </w:r>
      <w:r w:rsidR="004E07E8">
        <w:fldChar w:fldCharType="separate"/>
      </w:r>
      <w:r w:rsidR="000B72B3">
        <w:rPr>
          <w:noProof/>
        </w:rPr>
        <w:t>[2, 8]</w:t>
      </w:r>
      <w:r w:rsidR="004E07E8">
        <w:fldChar w:fldCharType="end"/>
      </w:r>
    </w:p>
    <w:p w14:paraId="0751D07E" w14:textId="27E7F80A" w:rsidR="00AE2168" w:rsidRDefault="003E3E4C" w:rsidP="003124A5">
      <w:pPr>
        <w:spacing w:after="0"/>
        <w:jc w:val="center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pict w14:anchorId="564099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A diagram of a cell&#10;&#10;AI-generated content may be incorrect." style="width:252.6pt;height:75.95pt;visibility:visible">
            <v:imagedata r:id="rId9" o:title="A diagram of a cell&#10;&#10;AI-generated content may be incorrect"/>
          </v:shape>
        </w:pict>
      </w:r>
    </w:p>
    <w:p w14:paraId="6290A596" w14:textId="7BA23EE2" w:rsidR="002B4C55" w:rsidRPr="00AE2168" w:rsidRDefault="003E3E4C" w:rsidP="00AE2168">
      <w:pPr>
        <w:jc w:val="center"/>
        <w:rPr>
          <w:sz w:val="18"/>
          <w:lang w:val="en-US"/>
        </w:rPr>
      </w:pPr>
      <w:r>
        <w:pict w14:anchorId="6290A5A3">
          <v:shape id="_x0000_tole_rId2" o:spid="_x0000_s2051" type="#_x0000_t75" style="position:absolute;left:0;text-align:left;margin-left:0;margin-top:0;width:50pt;height:50pt;z-index:251657728;visibility:hidden">
            <o:lock v:ext="edit" selection="t"/>
          </v:shape>
        </w:pict>
      </w:r>
      <w:r w:rsidR="00E012A3" w:rsidRPr="00AE2168">
        <w:rPr>
          <w:b/>
          <w:sz w:val="18"/>
        </w:rPr>
        <w:t>Figure 1</w:t>
      </w:r>
      <w:r w:rsidR="00E012A3" w:rsidRPr="00AE2168">
        <w:rPr>
          <w:sz w:val="18"/>
        </w:rPr>
        <w:t xml:space="preserve">. </w:t>
      </w:r>
      <w:r w:rsidR="00AE2168" w:rsidRPr="00AE2168">
        <w:rPr>
          <w:bCs/>
          <w:sz w:val="18"/>
          <w:lang w:val="en-US"/>
        </w:rPr>
        <w:t>Porosity “</w:t>
      </w:r>
      <w:r w:rsidR="00AE2168" w:rsidRPr="00AE2168">
        <w:rPr>
          <w:bCs/>
          <w:i/>
          <w:iCs/>
          <w:sz w:val="18"/>
          <w:lang w:val="en-US"/>
        </w:rPr>
        <w:t>without pores</w:t>
      </w:r>
      <w:r w:rsidR="00AE2168" w:rsidRPr="00AE2168">
        <w:rPr>
          <w:bCs/>
          <w:sz w:val="18"/>
          <w:lang w:val="en-US"/>
        </w:rPr>
        <w:t>”: we uncover a crystal engineering strategy with potential to enable the design of transient porosity in an array of underexplored coordination networks.</w:t>
      </w:r>
      <w:r w:rsidR="00E012A3">
        <w:rPr>
          <w:bCs/>
          <w:sz w:val="18"/>
          <w:lang w:val="en-US"/>
        </w:rPr>
        <w:fldChar w:fldCharType="begin"/>
      </w:r>
      <w:r w:rsidR="00E012A3">
        <w:rPr>
          <w:bCs/>
          <w:sz w:val="18"/>
          <w:lang w:val="en-US"/>
        </w:rPr>
        <w:instrText xml:space="preserve"> ADDIN EN.CITE &lt;EndNote&gt;&lt;Cite&gt;&lt;Author&gt;Braga&lt;/Author&gt;&lt;Year&gt;2023&lt;/Year&gt;&lt;RecNum&gt;3&lt;/RecNum&gt;&lt;DisplayText&gt;[3]&lt;/DisplayText&gt;&lt;record&gt;&lt;rec-number&gt;3&lt;/rec-number&gt;&lt;foreign-keys&gt;&lt;key app="EN" db-id="extdxa0v35adfwe0ds95a2fdtrztrpsrtrpv" timestamp="1751315388"&gt;3&lt;/key&gt;&lt;/foreign-keys&gt;&lt;ref-type name="Journal Article"&gt;17&lt;/ref-type&gt;&lt;contributors&gt;&lt;authors&gt;&lt;author&gt;Braga, Dario&lt;/author&gt;&lt;/authors&gt;&lt;/contributors&gt;&lt;titles&gt;&lt;title&gt;Crystal engineering: from promise to delivery&lt;/title&gt;&lt;secondary-title&gt;Chemical Communications&lt;/secondary-title&gt;&lt;/titles&gt;&lt;periodical&gt;&lt;full-title&gt;Chemical Communications&lt;/full-title&gt;&lt;/periodical&gt;&lt;pages&gt;14052-14062&lt;/pages&gt;&lt;volume&gt;59&lt;/volume&gt;&lt;number&gt;95&lt;/number&gt;&lt;dates&gt;&lt;year&gt;2023&lt;/year&gt;&lt;/dates&gt;&lt;publisher&gt;The Royal Society of Chemistry&lt;/publisher&gt;&lt;isbn&gt;1359-7345&lt;/isbn&gt;&lt;work-type&gt;10.1039/D3CC04313D&lt;/work-type&gt;&lt;urls&gt;&lt;related-urls&gt;&lt;url&gt;http://dx.doi.org/10.1039/D3CC04313D&lt;/url&gt;&lt;/related-urls&gt;&lt;/urls&gt;&lt;electronic-resource-num&gt;10.1039/D3CC04313D&lt;/electronic-resource-num&gt;&lt;/record&gt;&lt;/Cite&gt;&lt;/EndNote&gt;</w:instrText>
      </w:r>
      <w:r w:rsidR="00E012A3">
        <w:rPr>
          <w:bCs/>
          <w:sz w:val="18"/>
          <w:lang w:val="en-US"/>
        </w:rPr>
        <w:fldChar w:fldCharType="separate"/>
      </w:r>
      <w:r w:rsidR="00E012A3">
        <w:rPr>
          <w:bCs/>
          <w:noProof/>
          <w:sz w:val="18"/>
          <w:lang w:val="en-US"/>
        </w:rPr>
        <w:t>[3]</w:t>
      </w:r>
      <w:r w:rsidR="00E012A3">
        <w:rPr>
          <w:bCs/>
          <w:sz w:val="18"/>
          <w:lang w:val="en-US"/>
        </w:rPr>
        <w:fldChar w:fldCharType="end"/>
      </w:r>
    </w:p>
    <w:p w14:paraId="559D041A" w14:textId="2484E1A6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 w:rsidRPr="00124A7B">
        <w:rPr>
          <w:lang w:val="en-GB" w:eastAsia="cs-CZ"/>
        </w:rPr>
        <w:t>[</w:t>
      </w:r>
      <w:r w:rsidR="006E61D2">
        <w:rPr>
          <w:lang w:eastAsia="cs-CZ"/>
        </w:rPr>
        <w:fldChar w:fldCharType="begin"/>
      </w:r>
      <w:r w:rsidR="006E61D2" w:rsidRPr="0009603D">
        <w:rPr>
          <w:lang w:val="en-GB" w:eastAsia="cs-CZ"/>
        </w:rPr>
        <w:instrText xml:space="preserve"> ADDIN EN.REFLIST </w:instrText>
      </w:r>
      <w:r w:rsidR="006E61D2">
        <w:rPr>
          <w:lang w:eastAsia="cs-CZ"/>
        </w:rPr>
        <w:fldChar w:fldCharType="separate"/>
      </w:r>
      <w:r w:rsidR="00E012A3" w:rsidRPr="00A70793">
        <w:rPr>
          <w:lang w:val="en-GB"/>
        </w:rPr>
        <w:t>1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Barsoum, M.L., et al., </w:t>
      </w:r>
      <w:r w:rsidR="00E012A3" w:rsidRPr="00A70793">
        <w:rPr>
          <w:i/>
          <w:lang w:val="en-GB"/>
        </w:rPr>
        <w:t>The Road Ahead for Metal–Organic Frameworks: Current Landscape, Challenges and Future Prospects.</w:t>
      </w:r>
      <w:r w:rsidR="00E012A3" w:rsidRPr="00A70793">
        <w:rPr>
          <w:lang w:val="en-GB"/>
        </w:rPr>
        <w:t xml:space="preserve"> ACS Nano, 2025. </w:t>
      </w:r>
      <w:r w:rsidR="00E012A3" w:rsidRPr="00A70793">
        <w:rPr>
          <w:b/>
          <w:lang w:val="en-GB"/>
        </w:rPr>
        <w:t>19</w:t>
      </w:r>
      <w:r w:rsidR="00E012A3" w:rsidRPr="00A70793">
        <w:rPr>
          <w:lang w:val="en-GB"/>
        </w:rPr>
        <w:t>(1): p. 13-20.</w:t>
      </w:r>
    </w:p>
    <w:p w14:paraId="6A53CC53" w14:textId="3EA719C4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2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Mukherjee, S. and M.J. Zaworotko, </w:t>
      </w:r>
      <w:r w:rsidR="00E012A3" w:rsidRPr="00A70793">
        <w:rPr>
          <w:i/>
          <w:lang w:val="en-GB"/>
        </w:rPr>
        <w:t>Crystal Engineering of Hybrid Coordination Networks: From Form to Function.</w:t>
      </w:r>
      <w:r w:rsidR="00E012A3" w:rsidRPr="00A70793">
        <w:rPr>
          <w:lang w:val="en-GB"/>
        </w:rPr>
        <w:t xml:space="preserve"> Trends Chem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, 2020. </w:t>
      </w:r>
      <w:r w:rsidR="00E012A3" w:rsidRPr="00A70793">
        <w:rPr>
          <w:b/>
          <w:lang w:val="en-GB"/>
        </w:rPr>
        <w:t>2</w:t>
      </w:r>
      <w:r w:rsidR="00E012A3" w:rsidRPr="00A70793">
        <w:rPr>
          <w:lang w:val="en-GB"/>
        </w:rPr>
        <w:t>(6): p. 506-518.</w:t>
      </w:r>
    </w:p>
    <w:p w14:paraId="45262A56" w14:textId="6F1577A9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3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Braga, D., </w:t>
      </w:r>
      <w:r w:rsidR="00E012A3" w:rsidRPr="00A70793">
        <w:rPr>
          <w:i/>
          <w:lang w:val="en-GB"/>
        </w:rPr>
        <w:t>Crystal engineering: from promise to delivery.</w:t>
      </w:r>
      <w:r w:rsidR="00E012A3" w:rsidRPr="00A70793">
        <w:rPr>
          <w:lang w:val="en-GB"/>
        </w:rPr>
        <w:t xml:space="preserve"> Chem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 Commun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, 2023. </w:t>
      </w:r>
      <w:r w:rsidR="00E012A3" w:rsidRPr="00A70793">
        <w:rPr>
          <w:b/>
          <w:lang w:val="en-GB"/>
        </w:rPr>
        <w:t>59</w:t>
      </w:r>
      <w:r w:rsidR="00E012A3" w:rsidRPr="00A70793">
        <w:rPr>
          <w:lang w:val="en-GB"/>
        </w:rPr>
        <w:t>(95): p. 14052-14062.</w:t>
      </w:r>
    </w:p>
    <w:p w14:paraId="3E2AEEEE" w14:textId="740DBB5A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4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Zhang, J.-P., et al., </w:t>
      </w:r>
      <w:r w:rsidR="00E012A3" w:rsidRPr="00A70793">
        <w:rPr>
          <w:i/>
          <w:lang w:val="en-GB"/>
        </w:rPr>
        <w:t>Metal Azolate Frameworks: From Crystal Engineering to Functional Materials.</w:t>
      </w:r>
      <w:r w:rsidR="00E012A3" w:rsidRPr="00A70793">
        <w:rPr>
          <w:lang w:val="en-GB"/>
        </w:rPr>
        <w:t xml:space="preserve"> Chem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 Rev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, 2012. </w:t>
      </w:r>
      <w:r w:rsidR="00E012A3" w:rsidRPr="00A70793">
        <w:rPr>
          <w:b/>
          <w:lang w:val="en-GB"/>
        </w:rPr>
        <w:t>112</w:t>
      </w:r>
      <w:r w:rsidR="00E012A3" w:rsidRPr="00A70793">
        <w:rPr>
          <w:lang w:val="en-GB"/>
        </w:rPr>
        <w:t>(2): p. 1001-1033.</w:t>
      </w:r>
    </w:p>
    <w:p w14:paraId="1DE60719" w14:textId="52851792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5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Koupepidou, K., et al., </w:t>
      </w:r>
      <w:r w:rsidR="00E012A3" w:rsidRPr="00A70793">
        <w:rPr>
          <w:i/>
          <w:lang w:val="en-GB"/>
        </w:rPr>
        <w:t>A Needle in a Haystack: Transient Porosity in a Closed Pore Square Lattice Coordination Network.</w:t>
      </w:r>
      <w:r w:rsidR="00E012A3" w:rsidRPr="00A70793">
        <w:rPr>
          <w:lang w:val="en-GB"/>
        </w:rPr>
        <w:t xml:space="preserve"> Angew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 Chem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 Int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 Ed</w:t>
      </w:r>
      <w:r w:rsidR="005E530D">
        <w:rPr>
          <w:lang w:val="en-GB"/>
        </w:rPr>
        <w:t>.</w:t>
      </w:r>
      <w:r w:rsidR="00E012A3" w:rsidRPr="00A70793">
        <w:rPr>
          <w:lang w:val="en-GB"/>
        </w:rPr>
        <w:t xml:space="preserve">, 2025. </w:t>
      </w:r>
      <w:r w:rsidR="00E012A3" w:rsidRPr="00A70793">
        <w:rPr>
          <w:b/>
          <w:lang w:val="en-GB"/>
        </w:rPr>
        <w:t>64</w:t>
      </w:r>
      <w:r w:rsidR="00E012A3" w:rsidRPr="00A70793">
        <w:rPr>
          <w:lang w:val="en-GB"/>
        </w:rPr>
        <w:t>(14): p. e202423521.</w:t>
      </w:r>
    </w:p>
    <w:p w14:paraId="6A6BBEFA" w14:textId="2C3E6256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6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van Heerden, D.P., et al., </w:t>
      </w:r>
      <w:r w:rsidR="00E012A3" w:rsidRPr="00A70793">
        <w:rPr>
          <w:i/>
          <w:lang w:val="en-GB"/>
        </w:rPr>
        <w:t>High Pressure In Situ Single-Crystal X-Ray Diffraction Reveals Turnstile Linker Rotation Upon Room-Temperature Stepped Uptake of Alkanes.</w:t>
      </w:r>
      <w:r w:rsidR="00E012A3" w:rsidRPr="00A70793">
        <w:rPr>
          <w:lang w:val="en-GB"/>
        </w:rPr>
        <w:t xml:space="preserve"> Angew</w:t>
      </w:r>
      <w:r w:rsidR="00202908">
        <w:rPr>
          <w:lang w:val="en-GB"/>
        </w:rPr>
        <w:t>.</w:t>
      </w:r>
      <w:r w:rsidR="00E012A3" w:rsidRPr="00A70793">
        <w:rPr>
          <w:lang w:val="en-GB"/>
        </w:rPr>
        <w:t xml:space="preserve"> Chem</w:t>
      </w:r>
      <w:r w:rsidR="00202908">
        <w:rPr>
          <w:lang w:val="en-GB"/>
        </w:rPr>
        <w:t>.</w:t>
      </w:r>
      <w:r w:rsidR="00E012A3" w:rsidRPr="00A70793">
        <w:rPr>
          <w:lang w:val="en-GB"/>
        </w:rPr>
        <w:t xml:space="preserve"> Int</w:t>
      </w:r>
      <w:r w:rsidR="00202908">
        <w:rPr>
          <w:lang w:val="en-GB"/>
        </w:rPr>
        <w:t>.</w:t>
      </w:r>
      <w:r w:rsidR="00E012A3" w:rsidRPr="00A70793">
        <w:rPr>
          <w:lang w:val="en-GB"/>
        </w:rPr>
        <w:t xml:space="preserve"> Ed</w:t>
      </w:r>
      <w:r w:rsidR="00202908">
        <w:rPr>
          <w:lang w:val="en-GB"/>
        </w:rPr>
        <w:t>.</w:t>
      </w:r>
      <w:r w:rsidR="00E012A3" w:rsidRPr="00A70793">
        <w:rPr>
          <w:lang w:val="en-GB"/>
        </w:rPr>
        <w:t xml:space="preserve">, 2021. </w:t>
      </w:r>
      <w:r w:rsidR="00E012A3" w:rsidRPr="00A70793">
        <w:rPr>
          <w:b/>
          <w:lang w:val="en-GB"/>
        </w:rPr>
        <w:t>60</w:t>
      </w:r>
      <w:r w:rsidR="00E012A3" w:rsidRPr="00A70793">
        <w:rPr>
          <w:lang w:val="en-GB"/>
        </w:rPr>
        <w:t>(24): p. 13430-13435.</w:t>
      </w:r>
    </w:p>
    <w:p w14:paraId="0BA0BE44" w14:textId="3CAFF2E5" w:rsidR="00E012A3" w:rsidRPr="00A70793" w:rsidRDefault="00124A7B" w:rsidP="00286C90">
      <w:pPr>
        <w:pStyle w:val="EndNoteBibliography"/>
        <w:spacing w:after="0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7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Groom, C.R., et al., </w:t>
      </w:r>
      <w:r w:rsidR="00E012A3" w:rsidRPr="00A70793">
        <w:rPr>
          <w:i/>
          <w:lang w:val="en-GB"/>
        </w:rPr>
        <w:t>The Cambridge Structural Database.</w:t>
      </w:r>
      <w:r w:rsidR="00E012A3" w:rsidRPr="00A70793">
        <w:rPr>
          <w:lang w:val="en-GB"/>
        </w:rPr>
        <w:t xml:space="preserve"> Acta Crystallogr</w:t>
      </w:r>
      <w:r w:rsidR="00202908">
        <w:rPr>
          <w:lang w:val="en-GB"/>
        </w:rPr>
        <w:t>.</w:t>
      </w:r>
      <w:r w:rsidR="00E012A3" w:rsidRPr="00A70793">
        <w:rPr>
          <w:lang w:val="en-GB"/>
        </w:rPr>
        <w:t xml:space="preserve"> B, 2016. </w:t>
      </w:r>
      <w:r w:rsidR="00E012A3" w:rsidRPr="00A70793">
        <w:rPr>
          <w:b/>
          <w:lang w:val="en-GB"/>
        </w:rPr>
        <w:t>72</w:t>
      </w:r>
      <w:r w:rsidR="00E012A3" w:rsidRPr="00A70793">
        <w:rPr>
          <w:lang w:val="en-GB"/>
        </w:rPr>
        <w:t>(2): p. 171-179.</w:t>
      </w:r>
    </w:p>
    <w:p w14:paraId="65EEACF2" w14:textId="5EAD9547" w:rsidR="00E012A3" w:rsidRPr="00A70793" w:rsidRDefault="00124A7B" w:rsidP="00286C90">
      <w:pPr>
        <w:pStyle w:val="EndNoteBibliography"/>
        <w:ind w:left="142" w:hanging="142"/>
        <w:rPr>
          <w:lang w:val="en-GB"/>
        </w:rPr>
      </w:pPr>
      <w:r>
        <w:rPr>
          <w:lang w:val="en-GB"/>
        </w:rPr>
        <w:t>[</w:t>
      </w:r>
      <w:r w:rsidR="00E012A3" w:rsidRPr="00A70793">
        <w:rPr>
          <w:lang w:val="en-GB"/>
        </w:rPr>
        <w:t>8</w:t>
      </w:r>
      <w:r>
        <w:rPr>
          <w:lang w:val="en-GB"/>
        </w:rPr>
        <w:t xml:space="preserve">] </w:t>
      </w:r>
      <w:r w:rsidR="00E012A3" w:rsidRPr="00A70793">
        <w:rPr>
          <w:lang w:val="en-GB"/>
        </w:rPr>
        <w:t xml:space="preserve">Hollingsworth, M.D., </w:t>
      </w:r>
      <w:r w:rsidR="00E012A3" w:rsidRPr="00A70793">
        <w:rPr>
          <w:i/>
          <w:lang w:val="en-GB"/>
        </w:rPr>
        <w:t>Crystal Engineering: from Structure to Function.</w:t>
      </w:r>
      <w:r w:rsidR="00E012A3" w:rsidRPr="00A70793">
        <w:rPr>
          <w:lang w:val="en-GB"/>
        </w:rPr>
        <w:t xml:space="preserve"> Science, 2002. </w:t>
      </w:r>
      <w:r w:rsidR="00E012A3" w:rsidRPr="00A70793">
        <w:rPr>
          <w:b/>
          <w:lang w:val="en-GB"/>
        </w:rPr>
        <w:t>295</w:t>
      </w:r>
      <w:r w:rsidR="00E012A3" w:rsidRPr="00A70793">
        <w:rPr>
          <w:lang w:val="en-GB"/>
        </w:rPr>
        <w:t>(5564): p. 2410-2413.</w:t>
      </w:r>
    </w:p>
    <w:p w14:paraId="6290A5A2" w14:textId="2869B551" w:rsidR="002B4C55" w:rsidRDefault="006E61D2" w:rsidP="00286C90">
      <w:pPr>
        <w:pStyle w:val="Acknowledgement"/>
        <w:ind w:left="142" w:hanging="142"/>
        <w:rPr>
          <w:lang w:eastAsia="cs-CZ"/>
        </w:rPr>
      </w:pPr>
      <w:r>
        <w:rPr>
          <w:lang w:eastAsia="cs-CZ"/>
        </w:rPr>
        <w:fldChar w:fldCharType="end"/>
      </w:r>
      <w:r w:rsidR="006F3C01" w:rsidRPr="006F3C01">
        <w:rPr>
          <w:lang w:eastAsia="cs-CZ"/>
        </w:rPr>
        <w:t>Research Ireland award 21/PATH-S/9454</w:t>
      </w:r>
      <w:r w:rsidR="003E3E4C">
        <w:rPr>
          <w:lang w:eastAsia="cs-CZ"/>
        </w:rPr>
        <w:t>,</w:t>
      </w:r>
      <w:r w:rsidR="006F3C01" w:rsidRPr="006F3C01">
        <w:rPr>
          <w:lang w:eastAsia="cs-CZ"/>
        </w:rPr>
        <w:t xml:space="preserve"> and SSPC Research Funding Award AzAds are acknowledged.</w:t>
      </w:r>
    </w:p>
    <w:sectPr w:rsidR="002B4C55">
      <w:headerReference w:type="default" r:id="rId10"/>
      <w:footerReference w:type="default" r:id="rId11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40D08" w14:textId="77777777" w:rsidR="00137C96" w:rsidRDefault="00137C96">
      <w:pPr>
        <w:spacing w:after="0"/>
      </w:pPr>
      <w:r>
        <w:separator/>
      </w:r>
    </w:p>
  </w:endnote>
  <w:endnote w:type="continuationSeparator" w:id="0">
    <w:p w14:paraId="518B9744" w14:textId="77777777" w:rsidR="00137C96" w:rsidRDefault="00137C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0A5A6" w14:textId="77777777" w:rsidR="002B4C55" w:rsidRDefault="00E012A3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6290A5A7" w14:textId="77777777" w:rsidR="002B4C55" w:rsidRDefault="002B4C55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5F619" w14:textId="77777777" w:rsidR="00137C96" w:rsidRDefault="00137C96">
      <w:pPr>
        <w:spacing w:after="0"/>
      </w:pPr>
      <w:r>
        <w:separator/>
      </w:r>
    </w:p>
  </w:footnote>
  <w:footnote w:type="continuationSeparator" w:id="0">
    <w:p w14:paraId="20B879C0" w14:textId="77777777" w:rsidR="00137C96" w:rsidRDefault="00137C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0A5A5" w14:textId="77777777" w:rsidR="002B4C55" w:rsidRDefault="00E012A3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r>
      <w:rPr>
        <w:b/>
        <w:bCs/>
      </w:rPr>
      <w:t>Microsymposium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947FB"/>
    <w:multiLevelType w:val="multilevel"/>
    <w:tmpl w:val="60E0F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383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SystemFonts/>
  <w:proofState w:spelling="clean"/>
  <w:doNotTrackMoves/>
  <w:defaultTabStop w:val="720"/>
  <w:autoHyphenation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xtdxa0v35adfwe0ds95a2fdtrztrpsrtrpv&quot;&gt;ECM poznan library&lt;record-ids&gt;&lt;item&gt;1&lt;/item&gt;&lt;item&gt;2&lt;/item&gt;&lt;item&gt;3&lt;/item&gt;&lt;item&gt;5&lt;/item&gt;&lt;item&gt;6&lt;/item&gt;&lt;item&gt;7&lt;/item&gt;&lt;item&gt;8&lt;/item&gt;&lt;item&gt;9&lt;/item&gt;&lt;/record-ids&gt;&lt;/item&gt;&lt;/Libraries&gt;"/>
  </w:docVars>
  <w:rsids>
    <w:rsidRoot w:val="002B4C55"/>
    <w:rsid w:val="00083B62"/>
    <w:rsid w:val="0009603D"/>
    <w:rsid w:val="000974BE"/>
    <w:rsid w:val="000B4062"/>
    <w:rsid w:val="000B72B3"/>
    <w:rsid w:val="00124A7B"/>
    <w:rsid w:val="00137C96"/>
    <w:rsid w:val="00202908"/>
    <w:rsid w:val="00226DAF"/>
    <w:rsid w:val="00234FDD"/>
    <w:rsid w:val="00286C90"/>
    <w:rsid w:val="002B4C55"/>
    <w:rsid w:val="003124A5"/>
    <w:rsid w:val="00334A86"/>
    <w:rsid w:val="003E3E4C"/>
    <w:rsid w:val="004103B9"/>
    <w:rsid w:val="00411F83"/>
    <w:rsid w:val="004964AA"/>
    <w:rsid w:val="004D191D"/>
    <w:rsid w:val="004D4BFA"/>
    <w:rsid w:val="004E07E8"/>
    <w:rsid w:val="004F18D5"/>
    <w:rsid w:val="00560AE4"/>
    <w:rsid w:val="005E530D"/>
    <w:rsid w:val="00676BD9"/>
    <w:rsid w:val="00680A5E"/>
    <w:rsid w:val="006E61D2"/>
    <w:rsid w:val="006F3C01"/>
    <w:rsid w:val="007319E8"/>
    <w:rsid w:val="007717D3"/>
    <w:rsid w:val="0078175B"/>
    <w:rsid w:val="007937EE"/>
    <w:rsid w:val="007E2BA1"/>
    <w:rsid w:val="00816570"/>
    <w:rsid w:val="008325F1"/>
    <w:rsid w:val="009B77D7"/>
    <w:rsid w:val="009F60F2"/>
    <w:rsid w:val="00A14640"/>
    <w:rsid w:val="00A70793"/>
    <w:rsid w:val="00AA0C18"/>
    <w:rsid w:val="00AE2168"/>
    <w:rsid w:val="00B62D1D"/>
    <w:rsid w:val="00BD436E"/>
    <w:rsid w:val="00C23775"/>
    <w:rsid w:val="00C45D1D"/>
    <w:rsid w:val="00D078B0"/>
    <w:rsid w:val="00D57CBA"/>
    <w:rsid w:val="00D77DCA"/>
    <w:rsid w:val="00E012A3"/>
    <w:rsid w:val="00E867DF"/>
    <w:rsid w:val="00EB64A5"/>
    <w:rsid w:val="00EB71AE"/>
    <w:rsid w:val="00FC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290A58D"/>
  <w15:docId w15:val="{B0057A6B-1E7A-43AB-BFA0-A61867F6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D4BF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D4BF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6E61D2"/>
    <w:pPr>
      <w:spacing w:after="0"/>
      <w:jc w:val="center"/>
    </w:pPr>
    <w:rPr>
      <w:noProof/>
      <w:lang w:val="de-DE"/>
    </w:rPr>
  </w:style>
  <w:style w:type="character" w:customStyle="1" w:styleId="EndNoteBibliographyTitleChar">
    <w:name w:val="EndNote Bibliography Title Char"/>
    <w:link w:val="EndNoteBibliographyTitle"/>
    <w:rsid w:val="006E61D2"/>
    <w:rPr>
      <w:noProof/>
      <w:lang w:val="de-DE" w:eastAsia="de-DE"/>
    </w:rPr>
  </w:style>
  <w:style w:type="paragraph" w:customStyle="1" w:styleId="EndNoteBibliography">
    <w:name w:val="EndNote Bibliography"/>
    <w:basedOn w:val="Normal"/>
    <w:link w:val="EndNoteBibliographyChar"/>
    <w:rsid w:val="006E61D2"/>
    <w:rPr>
      <w:noProof/>
      <w:lang w:val="de-DE"/>
    </w:rPr>
  </w:style>
  <w:style w:type="character" w:customStyle="1" w:styleId="EndNoteBibliographyChar">
    <w:name w:val="EndNote Bibliography Char"/>
    <w:link w:val="EndNoteBibliography"/>
    <w:rsid w:val="006E61D2"/>
    <w:rPr>
      <w:noProof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mya.Mukherjee@ul.i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2032</Words>
  <Characters>11588</Characters>
  <Application>Microsoft Office Word</Application>
  <DocSecurity>0</DocSecurity>
  <Lines>96</Lines>
  <Paragraphs>27</Paragraphs>
  <ScaleCrop>false</ScaleCrop>
  <Company>MFF UK</Company>
  <LinksUpToDate>false</LinksUpToDate>
  <CharactersWithSpaces>13593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Soumya.Mukherjee</cp:lastModifiedBy>
  <cp:revision>66</cp:revision>
  <cp:lastPrinted>2025-06-30T20:49:00Z</cp:lastPrinted>
  <dcterms:created xsi:type="dcterms:W3CDTF">2019-09-04T15:26:00Z</dcterms:created>
  <dcterms:modified xsi:type="dcterms:W3CDTF">2025-06-30T20:56:00Z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