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F904" w14:textId="1AB2900F" w:rsidR="008A53C8" w:rsidRDefault="008A53C8">
      <w:pPr>
        <w:pStyle w:val="Heading2"/>
        <w:rPr>
          <w:iCs w:val="0"/>
          <w:kern w:val="2"/>
          <w:sz w:val="24"/>
          <w:szCs w:val="32"/>
        </w:rPr>
      </w:pPr>
      <w:bookmarkStart w:id="0" w:name="_Hlk197617691"/>
      <w:r w:rsidRPr="008A53C8">
        <w:rPr>
          <w:kern w:val="2"/>
          <w:sz w:val="24"/>
          <w:szCs w:val="32"/>
        </w:rPr>
        <w:t xml:space="preserve">Scaling and thickness optimization in dynamic refinement of 3D ED data using cubic spline </w:t>
      </w:r>
      <w:bookmarkEnd w:id="0"/>
      <w:r w:rsidRPr="008A53C8">
        <w:rPr>
          <w:kern w:val="2"/>
          <w:sz w:val="24"/>
          <w:szCs w:val="32"/>
        </w:rPr>
        <w:t>interpolation.</w:t>
      </w:r>
      <w:r w:rsidRPr="008A53C8">
        <w:rPr>
          <w:iCs w:val="0"/>
          <w:kern w:val="2"/>
          <w:sz w:val="24"/>
          <w:szCs w:val="32"/>
        </w:rPr>
        <w:t xml:space="preserve"> </w:t>
      </w:r>
    </w:p>
    <w:p w14:paraId="0A7F6CCC" w14:textId="77777777" w:rsidR="008A53C8" w:rsidRPr="008A53C8" w:rsidRDefault="008A53C8" w:rsidP="008A53C8">
      <w:pPr>
        <w:pStyle w:val="Heading3"/>
        <w:rPr>
          <w:rFonts w:ascii="Arial" w:hAnsi="Arial" w:cs="Arial"/>
          <w:b/>
          <w:i w:val="0"/>
          <w:sz w:val="22"/>
          <w:szCs w:val="32"/>
        </w:rPr>
      </w:pPr>
      <w:r w:rsidRPr="008A53C8">
        <w:rPr>
          <w:rFonts w:ascii="Arial" w:hAnsi="Arial" w:cs="Arial"/>
          <w:b/>
          <w:i w:val="0"/>
          <w:sz w:val="22"/>
          <w:szCs w:val="32"/>
        </w:rPr>
        <w:t>H. Chintakindi</w:t>
      </w:r>
      <w:r w:rsidRPr="008A53C8">
        <w:rPr>
          <w:rFonts w:ascii="Arial" w:hAnsi="Arial" w:cs="Arial"/>
          <w:b/>
          <w:i w:val="0"/>
          <w:sz w:val="22"/>
          <w:szCs w:val="32"/>
          <w:vertAlign w:val="superscript"/>
        </w:rPr>
        <w:t>1</w:t>
      </w:r>
      <w:r w:rsidRPr="008A53C8">
        <w:rPr>
          <w:rFonts w:ascii="Arial" w:hAnsi="Arial" w:cs="Arial"/>
          <w:b/>
          <w:i w:val="0"/>
          <w:sz w:val="22"/>
          <w:szCs w:val="32"/>
        </w:rPr>
        <w:t>, L. Palatinus</w:t>
      </w:r>
      <w:r w:rsidRPr="008A53C8">
        <w:rPr>
          <w:rFonts w:ascii="Arial" w:hAnsi="Arial" w:cs="Arial"/>
          <w:b/>
          <w:i w:val="0"/>
          <w:sz w:val="22"/>
          <w:szCs w:val="32"/>
          <w:vertAlign w:val="superscript"/>
        </w:rPr>
        <w:t>1</w:t>
      </w:r>
    </w:p>
    <w:p w14:paraId="2F46AF22" w14:textId="77777777" w:rsidR="008A53C8" w:rsidRPr="00F11911" w:rsidRDefault="008A53C8" w:rsidP="00F11911">
      <w:pPr>
        <w:pStyle w:val="Heading3"/>
      </w:pPr>
      <w:r w:rsidRPr="00F11911">
        <w:rPr>
          <w:vertAlign w:val="superscript"/>
        </w:rPr>
        <w:t>1</w:t>
      </w:r>
      <w:r w:rsidRPr="00F11911">
        <w:t>Department of Structure Analysis, Institute of Physics of the Czech Academy of Sciences, Prague, Czech Republic</w:t>
      </w:r>
    </w:p>
    <w:p w14:paraId="36A58E24" w14:textId="77777777" w:rsidR="008A53C8" w:rsidRPr="00F11911" w:rsidRDefault="008A53C8" w:rsidP="00F11911">
      <w:pPr>
        <w:pStyle w:val="Heading3"/>
      </w:pPr>
      <w:r w:rsidRPr="00F11911">
        <w:t>chintakindi@fzu.cz</w:t>
      </w:r>
    </w:p>
    <w:p w14:paraId="0DE9CC34" w14:textId="75EA802A" w:rsidR="008A53C8" w:rsidRPr="008A53C8" w:rsidRDefault="008A53C8" w:rsidP="008A53C8">
      <w:r w:rsidRPr="008A53C8">
        <w:t xml:space="preserve">With the advent of </w:t>
      </w:r>
      <w:r w:rsidRPr="008A53C8">
        <w:rPr>
          <w:lang w:val="en-US"/>
        </w:rPr>
        <w:t xml:space="preserve">3D Electron diffraction (3D ED) data acquisition and processing techniques, electron crystallography has emerged as a powerful method for accurate atomic-level structure determination [1], particularly when combined with dynamical refinement to account for multiple scattering effects [2]. </w:t>
      </w:r>
      <w:r w:rsidRPr="008A53C8">
        <w:t xml:space="preserve">A key aspect of this refinement involves optimizing structural parameters while refining </w:t>
      </w:r>
      <w:r w:rsidR="00A76DFF">
        <w:t>the</w:t>
      </w:r>
      <w:r w:rsidRPr="008A53C8">
        <w:t xml:space="preserve"> crystal thickness</w:t>
      </w:r>
      <w:r w:rsidR="00A76DFF">
        <w:t xml:space="preserve"> </w:t>
      </w:r>
      <w:r w:rsidRPr="008A53C8">
        <w:t xml:space="preserve">and individual </w:t>
      </w:r>
      <w:r w:rsidR="00A76DFF">
        <w:t>s</w:t>
      </w:r>
      <w:r w:rsidRPr="008A53C8">
        <w:t>cale factor</w:t>
      </w:r>
      <w:r w:rsidR="00A76DFF">
        <w:t>s</w:t>
      </w:r>
      <w:r w:rsidRPr="008A53C8">
        <w:t xml:space="preserve"> for each frame. These scale factors exhibit significant variation across frames due to changes in the irradiated area of the sample as the crystal tilts, along with other experimental uncertainties.</w:t>
      </w:r>
      <w:r w:rsidR="00A76DFF">
        <w:t xml:space="preserve"> The variation of the scale factors in dynamical refinement is such that it cannot be compensated in the data processing step, like in the case of kinematical treatment. Therefore, it is necessary to refine the scale factors in the refinement stage. This, however, leads to significant increase of refinement parameters, a decrease of the data to parameter ratio, and </w:t>
      </w:r>
      <w:r w:rsidR="00411C32">
        <w:t xml:space="preserve">a </w:t>
      </w:r>
      <w:r w:rsidR="00A76DFF">
        <w:t xml:space="preserve">possible introduction of noise in the refined parameters. </w:t>
      </w:r>
    </w:p>
    <w:p w14:paraId="1F5DB19C" w14:textId="77777777" w:rsidR="002F2150" w:rsidRDefault="008A53C8" w:rsidP="008A53C8">
      <w:r w:rsidRPr="008A53C8">
        <w:t>To address th</w:t>
      </w:r>
      <w:r w:rsidR="007743D8">
        <w:t>is</w:t>
      </w:r>
      <w:r w:rsidRPr="008A53C8">
        <w:t xml:space="preserve"> </w:t>
      </w:r>
      <w:r w:rsidR="007743D8">
        <w:t>issue</w:t>
      </w:r>
      <w:r w:rsidRPr="008A53C8">
        <w:t>, we propose</w:t>
      </w:r>
      <w:r w:rsidR="00AE2F68">
        <w:t xml:space="preserve"> a strategy to limit the number of refined parameters while maintaining the flexibility of the frame scale refinement. The strategy uses </w:t>
      </w:r>
      <w:r w:rsidRPr="008A53C8">
        <w:t xml:space="preserve">natural cubic splines. Instead of refining </w:t>
      </w:r>
      <w:r w:rsidR="007743D8">
        <w:t>a separate</w:t>
      </w:r>
      <w:r w:rsidRPr="008A53C8">
        <w:t xml:space="preserve"> scale factor </w:t>
      </w:r>
      <w:r w:rsidR="007743D8">
        <w:t>for each</w:t>
      </w:r>
      <w:r w:rsidRPr="008A53C8">
        <w:t xml:space="preserve"> frame, scale factors </w:t>
      </w:r>
      <w:r w:rsidR="007743D8">
        <w:t>are refined only</w:t>
      </w:r>
      <w:r w:rsidRPr="008A53C8">
        <w:t xml:space="preserve"> at selected node frames, spaced at regular intervals defined by a parameter called node spacing (h). The scale factors for the remaining frames are then interpolated using natural cubic splines, ensuring smooth and continuous variation up to the second derivative. This </w:t>
      </w:r>
      <w:r w:rsidR="00F7705F">
        <w:t xml:space="preserve">approach </w:t>
      </w:r>
      <w:r w:rsidRPr="008A53C8">
        <w:t xml:space="preserve">significantly reduces the number of refined parameters, thereby </w:t>
      </w:r>
      <w:r w:rsidR="00F7705F">
        <w:t>minimizing</w:t>
      </w:r>
      <w:r w:rsidRPr="008A53C8">
        <w:t xml:space="preserve"> the risk of overfitting. The interpolated scale factors are expressed as explicit linear combinations of the refined node values, with interpolation weights determined by </w:t>
      </w:r>
      <w:r w:rsidR="00AE2F68">
        <w:t xml:space="preserve">the cubic spline equations based on the selected </w:t>
      </w:r>
      <w:r w:rsidRPr="008A53C8">
        <w:t>node spacing. The</w:t>
      </w:r>
      <w:r w:rsidR="00AE2F68">
        <w:t xml:space="preserve"> method was implemented and tested in Jana2020[3], where these equations can be entered in the </w:t>
      </w:r>
      <w:r w:rsidRPr="008A53C8">
        <w:t>equations</w:t>
      </w:r>
      <w:r w:rsidR="00AE2F68">
        <w:t xml:space="preserve"> </w:t>
      </w:r>
      <w:r w:rsidR="00F7705F" w:rsidRPr="008A53C8">
        <w:t xml:space="preserve">window </w:t>
      </w:r>
      <w:r w:rsidR="00AE2F68">
        <w:t xml:space="preserve">and used as constraints </w:t>
      </w:r>
      <w:r w:rsidR="00F7705F">
        <w:t>in</w:t>
      </w:r>
      <w:r w:rsidR="00AE2F68">
        <w:t xml:space="preserve"> the</w:t>
      </w:r>
      <w:r w:rsidR="00F7705F">
        <w:t xml:space="preserve"> </w:t>
      </w:r>
      <w:r w:rsidRPr="008A53C8">
        <w:t>dynamical refinements.</w:t>
      </w:r>
      <w:r w:rsidR="005109BC">
        <w:t xml:space="preserve"> We note that the method does not neglect the scale factors outside of the nodes. The equations ensure that all data are </w:t>
      </w:r>
      <w:proofErr w:type="gramStart"/>
      <w:r w:rsidR="005109BC">
        <w:t>taken into account</w:t>
      </w:r>
      <w:proofErr w:type="gramEnd"/>
      <w:r w:rsidR="005109BC">
        <w:t xml:space="preserve"> in the refinement, and thus even if, technically, only some scale parameters are refined, they are refined to such values that ensure the best overall fit of all scales. </w:t>
      </w:r>
    </w:p>
    <w:p w14:paraId="39C3EA6E" w14:textId="16323666" w:rsidR="008A53C8" w:rsidRPr="008A53C8" w:rsidRDefault="008A53C8" w:rsidP="008A53C8">
      <w:r w:rsidRPr="008A53C8">
        <w:t>We evaluated this method on two experimental quartz datasets collected using continuous</w:t>
      </w:r>
      <w:r w:rsidR="005109BC">
        <w:t>-</w:t>
      </w:r>
      <w:r w:rsidRPr="008A53C8">
        <w:t>rotation (C.ROT) and precession-assisted</w:t>
      </w:r>
      <w:r w:rsidR="005109BC">
        <w:t xml:space="preserve"> </w:t>
      </w:r>
      <w:r w:rsidR="005109BC" w:rsidRPr="008A53C8">
        <w:t>(PEDT) 3</w:t>
      </w:r>
      <w:r w:rsidRPr="008A53C8">
        <w:t xml:space="preserve">D ED techniques. As shown in Table 1, the interpolation approach </w:t>
      </w:r>
      <w:r w:rsidR="00F7705F">
        <w:t>resulted in</w:t>
      </w:r>
      <w:r w:rsidRPr="008A53C8">
        <w:t xml:space="preserve"> a substantial reduction in the number of refined parameters</w:t>
      </w:r>
      <w:r w:rsidR="00F7705F">
        <w:t xml:space="preserve"> </w:t>
      </w:r>
      <w:r w:rsidRPr="008A53C8">
        <w:t>from 69 to 19 for the C.ROT dataset and from 265 to 19 for the PEDT dataset</w:t>
      </w:r>
      <w:r w:rsidR="005109BC">
        <w:t>,</w:t>
      </w:r>
      <w:r w:rsidR="00F7705F">
        <w:t xml:space="preserve"> </w:t>
      </w:r>
      <w:r w:rsidRPr="008A53C8">
        <w:t xml:space="preserve">with only </w:t>
      </w:r>
      <w:r w:rsidR="00856C39">
        <w:t>a minimal</w:t>
      </w:r>
      <w:r w:rsidRPr="008A53C8">
        <w:t xml:space="preserve"> increase in R-factors. The method also improved the smoothness of scale variation and enhanced the data-to-parameter ratio, demonstrating its effectiveness </w:t>
      </w:r>
      <w:r w:rsidR="00F7705F">
        <w:t>for</w:t>
      </w:r>
      <w:r w:rsidRPr="008A53C8">
        <w:t xml:space="preserve"> the dynamical refinement of 3D ED data. </w:t>
      </w:r>
    </w:p>
    <w:p w14:paraId="77DF6E0A" w14:textId="56EDA547" w:rsidR="008A53C8" w:rsidRPr="008A53C8" w:rsidRDefault="008A53C8" w:rsidP="00C84B3E">
      <w:pPr>
        <w:pStyle w:val="Heading6"/>
      </w:pPr>
      <w:r w:rsidRPr="008A53C8">
        <w:t xml:space="preserve">Table1: Dynamical refinement statistics for cubic spline interpolation of </w:t>
      </w:r>
      <w:r w:rsidR="00303687">
        <w:t>s</w:t>
      </w:r>
      <w:r w:rsidRPr="008A53C8">
        <w:t>cale factors for Quartz (C</w:t>
      </w:r>
      <w:r w:rsidR="005109BC">
        <w:t>.</w:t>
      </w:r>
      <w:r w:rsidRPr="008A53C8">
        <w:t>ROT and PEDT)</w:t>
      </w:r>
    </w:p>
    <w:tbl>
      <w:tblPr>
        <w:tblW w:w="6967" w:type="dxa"/>
        <w:tblInd w:w="1652" w:type="dxa"/>
        <w:tblBorders>
          <w:top w:val="thinThickSmallGap" w:sz="2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481"/>
        <w:gridCol w:w="1484"/>
        <w:gridCol w:w="1370"/>
        <w:gridCol w:w="1370"/>
        <w:gridCol w:w="1262"/>
      </w:tblGrid>
      <w:tr w:rsidR="008A53C8" w:rsidRPr="008A53C8" w14:paraId="38EBDB90" w14:textId="77777777" w:rsidTr="00AA2C04">
        <w:trPr>
          <w:trHeight w:val="230"/>
        </w:trPr>
        <w:tc>
          <w:tcPr>
            <w:tcW w:w="6967" w:type="dxa"/>
            <w:gridSpan w:val="5"/>
            <w:shd w:val="clear" w:color="auto" w:fill="auto"/>
          </w:tcPr>
          <w:p w14:paraId="518D686C" w14:textId="77777777" w:rsidR="008A53C8" w:rsidRPr="007D5A22" w:rsidRDefault="008A53C8" w:rsidP="00C84B3E">
            <w:pPr>
              <w:jc w:val="center"/>
              <w:rPr>
                <w:b/>
                <w:bCs/>
                <w:sz w:val="18"/>
                <w:szCs w:val="18"/>
                <w:lang w:val="en-US"/>
              </w:rPr>
            </w:pPr>
            <w:r w:rsidRPr="007D5A22">
              <w:rPr>
                <w:b/>
                <w:bCs/>
                <w:sz w:val="18"/>
                <w:szCs w:val="18"/>
              </w:rPr>
              <w:t>C.ROT (continuous rotation dataset); N(</w:t>
            </w:r>
            <w:proofErr w:type="spellStart"/>
            <w:r w:rsidRPr="007D5A22">
              <w:rPr>
                <w:b/>
                <w:bCs/>
                <w:sz w:val="18"/>
                <w:szCs w:val="18"/>
              </w:rPr>
              <w:t>obs</w:t>
            </w:r>
            <w:proofErr w:type="spellEnd"/>
            <w:r w:rsidRPr="007D5A22">
              <w:rPr>
                <w:b/>
                <w:bCs/>
                <w:sz w:val="18"/>
                <w:szCs w:val="18"/>
              </w:rPr>
              <w:t>)-2543, N(all)-3050</w:t>
            </w:r>
          </w:p>
        </w:tc>
      </w:tr>
      <w:tr w:rsidR="008A53C8" w:rsidRPr="008A53C8" w14:paraId="6BDFC232" w14:textId="77777777" w:rsidTr="00C678C8">
        <w:trPr>
          <w:trHeight w:val="174"/>
        </w:trPr>
        <w:tc>
          <w:tcPr>
            <w:tcW w:w="1481" w:type="dxa"/>
            <w:shd w:val="clear" w:color="auto" w:fill="auto"/>
          </w:tcPr>
          <w:p w14:paraId="4B530578" w14:textId="6CF9A6B4" w:rsidR="008A53C8" w:rsidRPr="007D5A22" w:rsidRDefault="008A53C8" w:rsidP="00C84B3E">
            <w:pPr>
              <w:jc w:val="center"/>
              <w:rPr>
                <w:b/>
                <w:bCs/>
                <w:sz w:val="18"/>
                <w:szCs w:val="18"/>
              </w:rPr>
            </w:pPr>
            <w:r w:rsidRPr="007D5A22">
              <w:rPr>
                <w:b/>
                <w:bCs/>
                <w:sz w:val="18"/>
                <w:szCs w:val="18"/>
              </w:rPr>
              <w:t>h</w:t>
            </w:r>
            <w:r w:rsidR="00C84B3E" w:rsidRPr="007D5A22">
              <w:rPr>
                <w:b/>
                <w:bCs/>
                <w:sz w:val="18"/>
                <w:szCs w:val="18"/>
              </w:rPr>
              <w:t xml:space="preserve"> </w:t>
            </w:r>
            <w:r w:rsidRPr="007D5A22">
              <w:rPr>
                <w:b/>
                <w:bCs/>
                <w:sz w:val="18"/>
                <w:szCs w:val="18"/>
              </w:rPr>
              <w:t>(Node spacing)</w:t>
            </w:r>
          </w:p>
        </w:tc>
        <w:tc>
          <w:tcPr>
            <w:tcW w:w="1484" w:type="dxa"/>
            <w:shd w:val="clear" w:color="auto" w:fill="auto"/>
          </w:tcPr>
          <w:p w14:paraId="4B05A47C" w14:textId="77777777" w:rsidR="008A53C8" w:rsidRPr="007D5A22" w:rsidRDefault="008A53C8" w:rsidP="00C84B3E">
            <w:pPr>
              <w:jc w:val="center"/>
              <w:rPr>
                <w:b/>
                <w:bCs/>
                <w:sz w:val="18"/>
                <w:szCs w:val="18"/>
              </w:rPr>
            </w:pPr>
            <w:r w:rsidRPr="007D5A22">
              <w:rPr>
                <w:b/>
                <w:bCs/>
                <w:sz w:val="18"/>
                <w:szCs w:val="18"/>
              </w:rPr>
              <w:t>Refined Scales</w:t>
            </w:r>
          </w:p>
          <w:p w14:paraId="3284055C" w14:textId="77777777" w:rsidR="008A53C8" w:rsidRPr="007D5A22" w:rsidRDefault="008A53C8" w:rsidP="00C84B3E">
            <w:pPr>
              <w:jc w:val="center"/>
              <w:rPr>
                <w:b/>
                <w:bCs/>
                <w:sz w:val="18"/>
                <w:szCs w:val="18"/>
              </w:rPr>
            </w:pPr>
            <w:r w:rsidRPr="007D5A22">
              <w:rPr>
                <w:b/>
                <w:bCs/>
                <w:sz w:val="18"/>
                <w:szCs w:val="18"/>
              </w:rPr>
              <w:t>(# of nodes)</w:t>
            </w:r>
          </w:p>
        </w:tc>
        <w:tc>
          <w:tcPr>
            <w:tcW w:w="1370" w:type="dxa"/>
            <w:shd w:val="clear" w:color="auto" w:fill="auto"/>
          </w:tcPr>
          <w:p w14:paraId="0DCE6BDF" w14:textId="77777777" w:rsidR="008A53C8" w:rsidRPr="007D5A22" w:rsidRDefault="008A53C8" w:rsidP="00C84B3E">
            <w:pPr>
              <w:jc w:val="center"/>
              <w:rPr>
                <w:b/>
                <w:bCs/>
                <w:sz w:val="18"/>
                <w:szCs w:val="18"/>
              </w:rPr>
            </w:pPr>
            <w:r w:rsidRPr="007D5A22">
              <w:rPr>
                <w:b/>
                <w:bCs/>
                <w:sz w:val="18"/>
                <w:szCs w:val="18"/>
              </w:rPr>
              <w:t>No of Refined parameters</w:t>
            </w:r>
          </w:p>
        </w:tc>
        <w:tc>
          <w:tcPr>
            <w:tcW w:w="1370" w:type="dxa"/>
            <w:shd w:val="clear" w:color="auto" w:fill="auto"/>
          </w:tcPr>
          <w:p w14:paraId="430D0E7F" w14:textId="77777777" w:rsidR="008A53C8" w:rsidRPr="007D5A22" w:rsidRDefault="008A53C8" w:rsidP="00C84B3E">
            <w:pPr>
              <w:jc w:val="center"/>
              <w:rPr>
                <w:b/>
                <w:bCs/>
                <w:sz w:val="18"/>
                <w:szCs w:val="18"/>
              </w:rPr>
            </w:pPr>
            <w:r w:rsidRPr="007D5A22">
              <w:rPr>
                <w:b/>
                <w:bCs/>
                <w:sz w:val="18"/>
                <w:szCs w:val="18"/>
              </w:rPr>
              <w:t>R(all)</w:t>
            </w:r>
          </w:p>
        </w:tc>
        <w:tc>
          <w:tcPr>
            <w:tcW w:w="1262" w:type="dxa"/>
            <w:shd w:val="clear" w:color="auto" w:fill="auto"/>
          </w:tcPr>
          <w:p w14:paraId="66F1F8B9" w14:textId="77777777" w:rsidR="008A53C8" w:rsidRPr="007D5A22" w:rsidRDefault="008A53C8" w:rsidP="00C84B3E">
            <w:pPr>
              <w:jc w:val="center"/>
              <w:rPr>
                <w:b/>
                <w:bCs/>
                <w:sz w:val="18"/>
                <w:szCs w:val="18"/>
              </w:rPr>
            </w:pPr>
            <w:proofErr w:type="spellStart"/>
            <w:r w:rsidRPr="007D5A22">
              <w:rPr>
                <w:b/>
                <w:bCs/>
                <w:sz w:val="18"/>
                <w:szCs w:val="18"/>
              </w:rPr>
              <w:t>wR</w:t>
            </w:r>
            <w:proofErr w:type="spellEnd"/>
            <w:r w:rsidRPr="007D5A22">
              <w:rPr>
                <w:b/>
                <w:bCs/>
                <w:sz w:val="18"/>
                <w:szCs w:val="18"/>
              </w:rPr>
              <w:t>(all)</w:t>
            </w:r>
          </w:p>
        </w:tc>
      </w:tr>
      <w:tr w:rsidR="008A53C8" w:rsidRPr="008A53C8" w14:paraId="31FE3FF3" w14:textId="77777777" w:rsidTr="00C678C8">
        <w:trPr>
          <w:trHeight w:val="236"/>
        </w:trPr>
        <w:tc>
          <w:tcPr>
            <w:tcW w:w="1481" w:type="dxa"/>
            <w:shd w:val="clear" w:color="auto" w:fill="auto"/>
          </w:tcPr>
          <w:p w14:paraId="0229F513" w14:textId="77777777" w:rsidR="008A53C8" w:rsidRPr="007D5A22" w:rsidRDefault="008A53C8" w:rsidP="00C84B3E">
            <w:pPr>
              <w:jc w:val="center"/>
              <w:rPr>
                <w:b/>
                <w:bCs/>
                <w:sz w:val="18"/>
                <w:szCs w:val="18"/>
              </w:rPr>
            </w:pPr>
            <w:r w:rsidRPr="007D5A22">
              <w:rPr>
                <w:b/>
                <w:bCs/>
                <w:sz w:val="18"/>
                <w:szCs w:val="18"/>
              </w:rPr>
              <w:t>1</w:t>
            </w:r>
          </w:p>
        </w:tc>
        <w:tc>
          <w:tcPr>
            <w:tcW w:w="1484" w:type="dxa"/>
            <w:shd w:val="clear" w:color="auto" w:fill="auto"/>
          </w:tcPr>
          <w:p w14:paraId="1EAB8597" w14:textId="77777777" w:rsidR="008A53C8" w:rsidRPr="007D5A22" w:rsidRDefault="008A53C8" w:rsidP="00C84B3E">
            <w:pPr>
              <w:jc w:val="center"/>
              <w:rPr>
                <w:b/>
                <w:bCs/>
                <w:sz w:val="18"/>
                <w:szCs w:val="18"/>
              </w:rPr>
            </w:pPr>
            <w:r w:rsidRPr="007D5A22">
              <w:rPr>
                <w:b/>
                <w:bCs/>
                <w:sz w:val="18"/>
                <w:szCs w:val="18"/>
              </w:rPr>
              <w:t>All Scales (54)</w:t>
            </w:r>
          </w:p>
        </w:tc>
        <w:tc>
          <w:tcPr>
            <w:tcW w:w="1370" w:type="dxa"/>
            <w:shd w:val="clear" w:color="auto" w:fill="auto"/>
          </w:tcPr>
          <w:p w14:paraId="3530A15D" w14:textId="77777777" w:rsidR="008A53C8" w:rsidRPr="007D5A22" w:rsidRDefault="008A53C8" w:rsidP="00C84B3E">
            <w:pPr>
              <w:jc w:val="center"/>
              <w:rPr>
                <w:b/>
                <w:bCs/>
                <w:sz w:val="18"/>
                <w:szCs w:val="18"/>
              </w:rPr>
            </w:pPr>
            <w:r w:rsidRPr="007D5A22">
              <w:rPr>
                <w:b/>
                <w:bCs/>
                <w:sz w:val="18"/>
                <w:szCs w:val="18"/>
              </w:rPr>
              <w:t>69</w:t>
            </w:r>
          </w:p>
        </w:tc>
        <w:tc>
          <w:tcPr>
            <w:tcW w:w="1370" w:type="dxa"/>
            <w:shd w:val="clear" w:color="auto" w:fill="auto"/>
          </w:tcPr>
          <w:p w14:paraId="25AB3D69" w14:textId="77777777" w:rsidR="008A53C8" w:rsidRPr="007D5A22" w:rsidRDefault="008A53C8" w:rsidP="00C84B3E">
            <w:pPr>
              <w:jc w:val="center"/>
              <w:rPr>
                <w:b/>
                <w:bCs/>
                <w:sz w:val="18"/>
                <w:szCs w:val="18"/>
              </w:rPr>
            </w:pPr>
            <w:r w:rsidRPr="007D5A22">
              <w:rPr>
                <w:b/>
                <w:bCs/>
                <w:sz w:val="18"/>
                <w:szCs w:val="18"/>
              </w:rPr>
              <w:t>5.76</w:t>
            </w:r>
          </w:p>
        </w:tc>
        <w:tc>
          <w:tcPr>
            <w:tcW w:w="1262" w:type="dxa"/>
            <w:shd w:val="clear" w:color="auto" w:fill="auto"/>
          </w:tcPr>
          <w:p w14:paraId="355FA9B4" w14:textId="77777777" w:rsidR="008A53C8" w:rsidRPr="007D5A22" w:rsidRDefault="008A53C8" w:rsidP="00C84B3E">
            <w:pPr>
              <w:jc w:val="center"/>
              <w:rPr>
                <w:b/>
                <w:bCs/>
                <w:sz w:val="18"/>
                <w:szCs w:val="18"/>
              </w:rPr>
            </w:pPr>
            <w:r w:rsidRPr="007D5A22">
              <w:rPr>
                <w:b/>
                <w:bCs/>
                <w:sz w:val="18"/>
                <w:szCs w:val="18"/>
              </w:rPr>
              <w:t>6.48</w:t>
            </w:r>
          </w:p>
        </w:tc>
      </w:tr>
      <w:tr w:rsidR="008A53C8" w:rsidRPr="008A53C8" w14:paraId="19C7C25A" w14:textId="77777777" w:rsidTr="00C678C8">
        <w:trPr>
          <w:trHeight w:val="245"/>
        </w:trPr>
        <w:tc>
          <w:tcPr>
            <w:tcW w:w="1481" w:type="dxa"/>
            <w:shd w:val="clear" w:color="auto" w:fill="auto"/>
          </w:tcPr>
          <w:p w14:paraId="01E813CA" w14:textId="77777777" w:rsidR="008A53C8" w:rsidRPr="007D5A22" w:rsidRDefault="008A53C8" w:rsidP="00C84B3E">
            <w:pPr>
              <w:jc w:val="center"/>
              <w:rPr>
                <w:sz w:val="18"/>
                <w:szCs w:val="18"/>
              </w:rPr>
            </w:pPr>
            <w:r w:rsidRPr="007D5A22">
              <w:rPr>
                <w:sz w:val="18"/>
                <w:szCs w:val="18"/>
              </w:rPr>
              <w:t>6</w:t>
            </w:r>
          </w:p>
        </w:tc>
        <w:tc>
          <w:tcPr>
            <w:tcW w:w="1484" w:type="dxa"/>
            <w:shd w:val="clear" w:color="auto" w:fill="auto"/>
          </w:tcPr>
          <w:p w14:paraId="3F4BDCF0" w14:textId="77777777" w:rsidR="008A53C8" w:rsidRPr="007D5A22" w:rsidRDefault="008A53C8" w:rsidP="00C84B3E">
            <w:pPr>
              <w:jc w:val="center"/>
              <w:rPr>
                <w:sz w:val="18"/>
                <w:szCs w:val="18"/>
              </w:rPr>
            </w:pPr>
            <w:r w:rsidRPr="007D5A22">
              <w:rPr>
                <w:sz w:val="18"/>
                <w:szCs w:val="18"/>
              </w:rPr>
              <w:t>10</w:t>
            </w:r>
          </w:p>
        </w:tc>
        <w:tc>
          <w:tcPr>
            <w:tcW w:w="1370" w:type="dxa"/>
            <w:shd w:val="clear" w:color="auto" w:fill="auto"/>
          </w:tcPr>
          <w:p w14:paraId="5C67B1A3" w14:textId="77777777" w:rsidR="008A53C8" w:rsidRPr="007D5A22" w:rsidRDefault="008A53C8" w:rsidP="00C84B3E">
            <w:pPr>
              <w:jc w:val="center"/>
              <w:rPr>
                <w:sz w:val="18"/>
                <w:szCs w:val="18"/>
              </w:rPr>
            </w:pPr>
            <w:r w:rsidRPr="007D5A22">
              <w:rPr>
                <w:sz w:val="18"/>
                <w:szCs w:val="18"/>
              </w:rPr>
              <w:t>25</w:t>
            </w:r>
          </w:p>
        </w:tc>
        <w:tc>
          <w:tcPr>
            <w:tcW w:w="1370" w:type="dxa"/>
            <w:shd w:val="clear" w:color="auto" w:fill="auto"/>
          </w:tcPr>
          <w:p w14:paraId="1116B1E1" w14:textId="77777777" w:rsidR="008A53C8" w:rsidRPr="007D5A22" w:rsidRDefault="008A53C8" w:rsidP="00C84B3E">
            <w:pPr>
              <w:jc w:val="center"/>
              <w:rPr>
                <w:sz w:val="18"/>
                <w:szCs w:val="18"/>
              </w:rPr>
            </w:pPr>
            <w:r w:rsidRPr="007D5A22">
              <w:rPr>
                <w:sz w:val="18"/>
                <w:szCs w:val="18"/>
              </w:rPr>
              <w:t>5.88</w:t>
            </w:r>
          </w:p>
        </w:tc>
        <w:tc>
          <w:tcPr>
            <w:tcW w:w="1262" w:type="dxa"/>
            <w:shd w:val="clear" w:color="auto" w:fill="auto"/>
          </w:tcPr>
          <w:p w14:paraId="2EB2BB4A" w14:textId="77777777" w:rsidR="008A53C8" w:rsidRPr="007D5A22" w:rsidRDefault="008A53C8" w:rsidP="00C84B3E">
            <w:pPr>
              <w:jc w:val="center"/>
              <w:rPr>
                <w:sz w:val="18"/>
                <w:szCs w:val="18"/>
              </w:rPr>
            </w:pPr>
            <w:r w:rsidRPr="007D5A22">
              <w:rPr>
                <w:sz w:val="18"/>
                <w:szCs w:val="18"/>
              </w:rPr>
              <w:t>6.76</w:t>
            </w:r>
          </w:p>
        </w:tc>
      </w:tr>
      <w:tr w:rsidR="008A53C8" w:rsidRPr="008A53C8" w14:paraId="5E0818FD" w14:textId="77777777" w:rsidTr="00C678C8">
        <w:trPr>
          <w:trHeight w:val="245"/>
        </w:trPr>
        <w:tc>
          <w:tcPr>
            <w:tcW w:w="1481" w:type="dxa"/>
            <w:shd w:val="clear" w:color="auto" w:fill="auto"/>
          </w:tcPr>
          <w:p w14:paraId="36514D06" w14:textId="77777777" w:rsidR="008A53C8" w:rsidRPr="007D5A22" w:rsidRDefault="008A53C8" w:rsidP="00C84B3E">
            <w:pPr>
              <w:jc w:val="center"/>
              <w:rPr>
                <w:sz w:val="18"/>
                <w:szCs w:val="18"/>
              </w:rPr>
            </w:pPr>
            <w:r w:rsidRPr="007D5A22">
              <w:rPr>
                <w:sz w:val="18"/>
                <w:szCs w:val="18"/>
              </w:rPr>
              <w:t>18</w:t>
            </w:r>
          </w:p>
        </w:tc>
        <w:tc>
          <w:tcPr>
            <w:tcW w:w="1484" w:type="dxa"/>
            <w:shd w:val="clear" w:color="auto" w:fill="auto"/>
          </w:tcPr>
          <w:p w14:paraId="6804AB74" w14:textId="77777777" w:rsidR="008A53C8" w:rsidRPr="007D5A22" w:rsidRDefault="008A53C8" w:rsidP="00C84B3E">
            <w:pPr>
              <w:jc w:val="center"/>
              <w:rPr>
                <w:sz w:val="18"/>
                <w:szCs w:val="18"/>
              </w:rPr>
            </w:pPr>
            <w:r w:rsidRPr="007D5A22">
              <w:rPr>
                <w:sz w:val="18"/>
                <w:szCs w:val="18"/>
              </w:rPr>
              <w:t>4</w:t>
            </w:r>
          </w:p>
        </w:tc>
        <w:tc>
          <w:tcPr>
            <w:tcW w:w="1370" w:type="dxa"/>
            <w:shd w:val="clear" w:color="auto" w:fill="auto"/>
          </w:tcPr>
          <w:p w14:paraId="16327DE6" w14:textId="77777777" w:rsidR="008A53C8" w:rsidRPr="007D5A22" w:rsidRDefault="008A53C8" w:rsidP="00C84B3E">
            <w:pPr>
              <w:jc w:val="center"/>
              <w:rPr>
                <w:sz w:val="18"/>
                <w:szCs w:val="18"/>
              </w:rPr>
            </w:pPr>
            <w:r w:rsidRPr="007D5A22">
              <w:rPr>
                <w:sz w:val="18"/>
                <w:szCs w:val="18"/>
              </w:rPr>
              <w:t>19</w:t>
            </w:r>
          </w:p>
        </w:tc>
        <w:tc>
          <w:tcPr>
            <w:tcW w:w="1370" w:type="dxa"/>
            <w:shd w:val="clear" w:color="auto" w:fill="auto"/>
          </w:tcPr>
          <w:p w14:paraId="2A14A497" w14:textId="77777777" w:rsidR="008A53C8" w:rsidRPr="007D5A22" w:rsidRDefault="008A53C8" w:rsidP="00C84B3E">
            <w:pPr>
              <w:jc w:val="center"/>
              <w:rPr>
                <w:sz w:val="18"/>
                <w:szCs w:val="18"/>
              </w:rPr>
            </w:pPr>
            <w:r w:rsidRPr="007D5A22">
              <w:rPr>
                <w:sz w:val="18"/>
                <w:szCs w:val="18"/>
              </w:rPr>
              <w:t>6.08</w:t>
            </w:r>
          </w:p>
        </w:tc>
        <w:tc>
          <w:tcPr>
            <w:tcW w:w="1262" w:type="dxa"/>
            <w:shd w:val="clear" w:color="auto" w:fill="auto"/>
          </w:tcPr>
          <w:p w14:paraId="74FB0BFF" w14:textId="77777777" w:rsidR="008A53C8" w:rsidRPr="007D5A22" w:rsidRDefault="008A53C8" w:rsidP="00C84B3E">
            <w:pPr>
              <w:jc w:val="center"/>
              <w:rPr>
                <w:sz w:val="18"/>
                <w:szCs w:val="18"/>
              </w:rPr>
            </w:pPr>
            <w:r w:rsidRPr="007D5A22">
              <w:rPr>
                <w:sz w:val="18"/>
                <w:szCs w:val="18"/>
              </w:rPr>
              <w:t>7</w:t>
            </w:r>
          </w:p>
        </w:tc>
      </w:tr>
      <w:tr w:rsidR="008A53C8" w:rsidRPr="008A53C8" w14:paraId="40900D85" w14:textId="77777777" w:rsidTr="00AA2C04">
        <w:trPr>
          <w:trHeight w:val="236"/>
        </w:trPr>
        <w:tc>
          <w:tcPr>
            <w:tcW w:w="6967" w:type="dxa"/>
            <w:gridSpan w:val="5"/>
            <w:shd w:val="clear" w:color="auto" w:fill="auto"/>
          </w:tcPr>
          <w:p w14:paraId="77B39CB7" w14:textId="77777777" w:rsidR="008A53C8" w:rsidRPr="007D5A22" w:rsidRDefault="008A53C8" w:rsidP="00C84B3E">
            <w:pPr>
              <w:jc w:val="center"/>
              <w:rPr>
                <w:b/>
                <w:bCs/>
                <w:sz w:val="18"/>
                <w:szCs w:val="18"/>
                <w:lang w:val="en-US"/>
              </w:rPr>
            </w:pPr>
            <w:r w:rsidRPr="007D5A22">
              <w:rPr>
                <w:b/>
                <w:bCs/>
                <w:sz w:val="18"/>
                <w:szCs w:val="18"/>
              </w:rPr>
              <w:t>PEDT (Precession dataset); N(</w:t>
            </w:r>
            <w:proofErr w:type="spellStart"/>
            <w:r w:rsidRPr="007D5A22">
              <w:rPr>
                <w:b/>
                <w:bCs/>
                <w:sz w:val="18"/>
                <w:szCs w:val="18"/>
              </w:rPr>
              <w:t>obs</w:t>
            </w:r>
            <w:proofErr w:type="spellEnd"/>
            <w:r w:rsidRPr="007D5A22">
              <w:rPr>
                <w:b/>
                <w:bCs/>
                <w:sz w:val="18"/>
                <w:szCs w:val="18"/>
              </w:rPr>
              <w:t>)-8907, N(all)-12107</w:t>
            </w:r>
          </w:p>
        </w:tc>
      </w:tr>
      <w:tr w:rsidR="008A53C8" w:rsidRPr="008A53C8" w14:paraId="492FF08A" w14:textId="77777777" w:rsidTr="00C678C8">
        <w:trPr>
          <w:trHeight w:val="245"/>
        </w:trPr>
        <w:tc>
          <w:tcPr>
            <w:tcW w:w="1481" w:type="dxa"/>
            <w:shd w:val="clear" w:color="auto" w:fill="auto"/>
          </w:tcPr>
          <w:p w14:paraId="716376AA" w14:textId="77777777" w:rsidR="008A53C8" w:rsidRPr="007D5A22" w:rsidRDefault="008A53C8" w:rsidP="00C84B3E">
            <w:pPr>
              <w:jc w:val="center"/>
              <w:rPr>
                <w:b/>
                <w:bCs/>
                <w:sz w:val="18"/>
                <w:szCs w:val="18"/>
              </w:rPr>
            </w:pPr>
            <w:r w:rsidRPr="007D5A22">
              <w:rPr>
                <w:b/>
                <w:bCs/>
                <w:sz w:val="18"/>
                <w:szCs w:val="18"/>
              </w:rPr>
              <w:t>1</w:t>
            </w:r>
          </w:p>
        </w:tc>
        <w:tc>
          <w:tcPr>
            <w:tcW w:w="1484" w:type="dxa"/>
            <w:shd w:val="clear" w:color="auto" w:fill="auto"/>
          </w:tcPr>
          <w:p w14:paraId="0FCC3F50" w14:textId="77777777" w:rsidR="008A53C8" w:rsidRPr="007D5A22" w:rsidRDefault="008A53C8" w:rsidP="00C84B3E">
            <w:pPr>
              <w:jc w:val="center"/>
              <w:rPr>
                <w:b/>
                <w:bCs/>
                <w:sz w:val="18"/>
                <w:szCs w:val="18"/>
              </w:rPr>
            </w:pPr>
            <w:r w:rsidRPr="007D5A22">
              <w:rPr>
                <w:b/>
                <w:bCs/>
                <w:sz w:val="18"/>
                <w:szCs w:val="18"/>
              </w:rPr>
              <w:t>All scales (250)</w:t>
            </w:r>
          </w:p>
        </w:tc>
        <w:tc>
          <w:tcPr>
            <w:tcW w:w="1370" w:type="dxa"/>
            <w:shd w:val="clear" w:color="auto" w:fill="auto"/>
          </w:tcPr>
          <w:p w14:paraId="29A594BD" w14:textId="77777777" w:rsidR="008A53C8" w:rsidRPr="007D5A22" w:rsidRDefault="008A53C8" w:rsidP="00C84B3E">
            <w:pPr>
              <w:jc w:val="center"/>
              <w:rPr>
                <w:b/>
                <w:bCs/>
                <w:sz w:val="18"/>
                <w:szCs w:val="18"/>
              </w:rPr>
            </w:pPr>
            <w:r w:rsidRPr="007D5A22">
              <w:rPr>
                <w:b/>
                <w:bCs/>
                <w:sz w:val="18"/>
                <w:szCs w:val="18"/>
              </w:rPr>
              <w:t>265</w:t>
            </w:r>
          </w:p>
        </w:tc>
        <w:tc>
          <w:tcPr>
            <w:tcW w:w="1370" w:type="dxa"/>
            <w:shd w:val="clear" w:color="auto" w:fill="auto"/>
          </w:tcPr>
          <w:p w14:paraId="5047E4BC" w14:textId="77777777" w:rsidR="008A53C8" w:rsidRPr="007D5A22" w:rsidRDefault="008A53C8" w:rsidP="00C84B3E">
            <w:pPr>
              <w:jc w:val="center"/>
              <w:rPr>
                <w:b/>
                <w:bCs/>
                <w:sz w:val="18"/>
                <w:szCs w:val="18"/>
              </w:rPr>
            </w:pPr>
            <w:r w:rsidRPr="007D5A22">
              <w:rPr>
                <w:b/>
                <w:bCs/>
                <w:sz w:val="18"/>
                <w:szCs w:val="18"/>
              </w:rPr>
              <w:t>5.4</w:t>
            </w:r>
          </w:p>
        </w:tc>
        <w:tc>
          <w:tcPr>
            <w:tcW w:w="1262" w:type="dxa"/>
            <w:shd w:val="clear" w:color="auto" w:fill="auto"/>
          </w:tcPr>
          <w:p w14:paraId="711EE479" w14:textId="77777777" w:rsidR="008A53C8" w:rsidRPr="007D5A22" w:rsidRDefault="008A53C8" w:rsidP="00C84B3E">
            <w:pPr>
              <w:jc w:val="center"/>
              <w:rPr>
                <w:b/>
                <w:bCs/>
                <w:sz w:val="18"/>
                <w:szCs w:val="18"/>
              </w:rPr>
            </w:pPr>
            <w:r w:rsidRPr="007D5A22">
              <w:rPr>
                <w:b/>
                <w:bCs/>
                <w:sz w:val="18"/>
                <w:szCs w:val="18"/>
              </w:rPr>
              <w:t>5.51</w:t>
            </w:r>
          </w:p>
        </w:tc>
      </w:tr>
      <w:tr w:rsidR="008A53C8" w:rsidRPr="008A53C8" w14:paraId="08DEC426" w14:textId="77777777" w:rsidTr="00C678C8">
        <w:trPr>
          <w:trHeight w:val="245"/>
        </w:trPr>
        <w:tc>
          <w:tcPr>
            <w:tcW w:w="1481" w:type="dxa"/>
            <w:shd w:val="clear" w:color="auto" w:fill="auto"/>
          </w:tcPr>
          <w:p w14:paraId="4FC13C68" w14:textId="77777777" w:rsidR="008A53C8" w:rsidRPr="007D5A22" w:rsidRDefault="008A53C8" w:rsidP="00C84B3E">
            <w:pPr>
              <w:jc w:val="center"/>
              <w:rPr>
                <w:sz w:val="18"/>
                <w:szCs w:val="18"/>
              </w:rPr>
            </w:pPr>
            <w:r w:rsidRPr="007D5A22">
              <w:rPr>
                <w:sz w:val="18"/>
                <w:szCs w:val="18"/>
              </w:rPr>
              <w:t>40</w:t>
            </w:r>
          </w:p>
        </w:tc>
        <w:tc>
          <w:tcPr>
            <w:tcW w:w="1484" w:type="dxa"/>
            <w:shd w:val="clear" w:color="auto" w:fill="auto"/>
          </w:tcPr>
          <w:p w14:paraId="43374343" w14:textId="77777777" w:rsidR="008A53C8" w:rsidRPr="007D5A22" w:rsidRDefault="008A53C8" w:rsidP="00C84B3E">
            <w:pPr>
              <w:jc w:val="center"/>
              <w:rPr>
                <w:sz w:val="18"/>
                <w:szCs w:val="18"/>
              </w:rPr>
            </w:pPr>
            <w:r w:rsidRPr="007D5A22">
              <w:rPr>
                <w:sz w:val="18"/>
                <w:szCs w:val="18"/>
              </w:rPr>
              <w:t>8</w:t>
            </w:r>
          </w:p>
        </w:tc>
        <w:tc>
          <w:tcPr>
            <w:tcW w:w="1370" w:type="dxa"/>
            <w:shd w:val="clear" w:color="auto" w:fill="auto"/>
          </w:tcPr>
          <w:p w14:paraId="3A1C473E" w14:textId="77777777" w:rsidR="008A53C8" w:rsidRPr="007D5A22" w:rsidRDefault="008A53C8" w:rsidP="00C84B3E">
            <w:pPr>
              <w:jc w:val="center"/>
              <w:rPr>
                <w:sz w:val="18"/>
                <w:szCs w:val="18"/>
              </w:rPr>
            </w:pPr>
            <w:r w:rsidRPr="007D5A22">
              <w:rPr>
                <w:sz w:val="18"/>
                <w:szCs w:val="18"/>
              </w:rPr>
              <w:t>23</w:t>
            </w:r>
          </w:p>
        </w:tc>
        <w:tc>
          <w:tcPr>
            <w:tcW w:w="1370" w:type="dxa"/>
            <w:shd w:val="clear" w:color="auto" w:fill="auto"/>
          </w:tcPr>
          <w:p w14:paraId="69E5F08F" w14:textId="77777777" w:rsidR="008A53C8" w:rsidRPr="007D5A22" w:rsidRDefault="008A53C8" w:rsidP="00C84B3E">
            <w:pPr>
              <w:jc w:val="center"/>
              <w:rPr>
                <w:sz w:val="18"/>
                <w:szCs w:val="18"/>
              </w:rPr>
            </w:pPr>
            <w:r w:rsidRPr="007D5A22">
              <w:rPr>
                <w:sz w:val="18"/>
                <w:szCs w:val="18"/>
              </w:rPr>
              <w:t>5.52</w:t>
            </w:r>
          </w:p>
        </w:tc>
        <w:tc>
          <w:tcPr>
            <w:tcW w:w="1262" w:type="dxa"/>
            <w:shd w:val="clear" w:color="auto" w:fill="auto"/>
          </w:tcPr>
          <w:p w14:paraId="354A9264" w14:textId="77777777" w:rsidR="008A53C8" w:rsidRPr="007D5A22" w:rsidRDefault="008A53C8" w:rsidP="00C84B3E">
            <w:pPr>
              <w:jc w:val="center"/>
              <w:rPr>
                <w:sz w:val="18"/>
                <w:szCs w:val="18"/>
              </w:rPr>
            </w:pPr>
            <w:r w:rsidRPr="007D5A22">
              <w:rPr>
                <w:sz w:val="18"/>
                <w:szCs w:val="18"/>
              </w:rPr>
              <w:t>5.78</w:t>
            </w:r>
          </w:p>
        </w:tc>
      </w:tr>
      <w:tr w:rsidR="008A53C8" w:rsidRPr="008A53C8" w14:paraId="09C022AE" w14:textId="77777777" w:rsidTr="00C678C8">
        <w:trPr>
          <w:trHeight w:val="236"/>
        </w:trPr>
        <w:tc>
          <w:tcPr>
            <w:tcW w:w="1481" w:type="dxa"/>
            <w:shd w:val="clear" w:color="auto" w:fill="auto"/>
          </w:tcPr>
          <w:p w14:paraId="651793A9" w14:textId="77777777" w:rsidR="008A53C8" w:rsidRPr="007D5A22" w:rsidRDefault="008A53C8" w:rsidP="00C84B3E">
            <w:pPr>
              <w:jc w:val="center"/>
              <w:rPr>
                <w:sz w:val="18"/>
                <w:szCs w:val="18"/>
              </w:rPr>
            </w:pPr>
            <w:r w:rsidRPr="007D5A22">
              <w:rPr>
                <w:sz w:val="18"/>
                <w:szCs w:val="18"/>
              </w:rPr>
              <w:t>100</w:t>
            </w:r>
          </w:p>
        </w:tc>
        <w:tc>
          <w:tcPr>
            <w:tcW w:w="1484" w:type="dxa"/>
            <w:shd w:val="clear" w:color="auto" w:fill="auto"/>
          </w:tcPr>
          <w:p w14:paraId="54889A87" w14:textId="77777777" w:rsidR="008A53C8" w:rsidRPr="007D5A22" w:rsidRDefault="008A53C8" w:rsidP="00C84B3E">
            <w:pPr>
              <w:jc w:val="center"/>
              <w:rPr>
                <w:sz w:val="18"/>
                <w:szCs w:val="18"/>
              </w:rPr>
            </w:pPr>
            <w:r w:rsidRPr="007D5A22">
              <w:rPr>
                <w:sz w:val="18"/>
                <w:szCs w:val="18"/>
              </w:rPr>
              <w:t>4</w:t>
            </w:r>
          </w:p>
        </w:tc>
        <w:tc>
          <w:tcPr>
            <w:tcW w:w="1370" w:type="dxa"/>
            <w:shd w:val="clear" w:color="auto" w:fill="auto"/>
          </w:tcPr>
          <w:p w14:paraId="179D089C" w14:textId="77777777" w:rsidR="008A53C8" w:rsidRPr="007D5A22" w:rsidRDefault="008A53C8" w:rsidP="00C84B3E">
            <w:pPr>
              <w:jc w:val="center"/>
              <w:rPr>
                <w:sz w:val="18"/>
                <w:szCs w:val="18"/>
              </w:rPr>
            </w:pPr>
            <w:r w:rsidRPr="007D5A22">
              <w:rPr>
                <w:sz w:val="18"/>
                <w:szCs w:val="18"/>
              </w:rPr>
              <w:t>19</w:t>
            </w:r>
          </w:p>
        </w:tc>
        <w:tc>
          <w:tcPr>
            <w:tcW w:w="1370" w:type="dxa"/>
            <w:shd w:val="clear" w:color="auto" w:fill="auto"/>
          </w:tcPr>
          <w:p w14:paraId="7E5FFACC" w14:textId="77777777" w:rsidR="008A53C8" w:rsidRPr="007D5A22" w:rsidRDefault="008A53C8" w:rsidP="00C84B3E">
            <w:pPr>
              <w:jc w:val="center"/>
              <w:rPr>
                <w:sz w:val="18"/>
                <w:szCs w:val="18"/>
              </w:rPr>
            </w:pPr>
            <w:r w:rsidRPr="007D5A22">
              <w:rPr>
                <w:sz w:val="18"/>
                <w:szCs w:val="18"/>
              </w:rPr>
              <w:t>5.52</w:t>
            </w:r>
          </w:p>
        </w:tc>
        <w:tc>
          <w:tcPr>
            <w:tcW w:w="1262" w:type="dxa"/>
            <w:shd w:val="clear" w:color="auto" w:fill="auto"/>
          </w:tcPr>
          <w:p w14:paraId="432551CE" w14:textId="77777777" w:rsidR="008A53C8" w:rsidRPr="007D5A22" w:rsidRDefault="008A53C8" w:rsidP="00C84B3E">
            <w:pPr>
              <w:jc w:val="center"/>
              <w:rPr>
                <w:sz w:val="18"/>
                <w:szCs w:val="18"/>
              </w:rPr>
            </w:pPr>
            <w:r w:rsidRPr="007D5A22">
              <w:rPr>
                <w:sz w:val="18"/>
                <w:szCs w:val="18"/>
              </w:rPr>
              <w:t>5.83</w:t>
            </w:r>
          </w:p>
        </w:tc>
      </w:tr>
    </w:tbl>
    <w:p w14:paraId="2EF098C1" w14:textId="77777777" w:rsidR="00C678C8" w:rsidRDefault="00C678C8" w:rsidP="00C84B3E">
      <w:pPr>
        <w:pStyle w:val="Heading4"/>
      </w:pPr>
    </w:p>
    <w:p w14:paraId="2D242F67" w14:textId="3EE33EE4" w:rsidR="00994A56" w:rsidRPr="00856C39" w:rsidRDefault="005B6011" w:rsidP="00C84B3E">
      <w:pPr>
        <w:pStyle w:val="Heading4"/>
        <w:rPr>
          <w:sz w:val="20"/>
          <w:szCs w:val="20"/>
          <w:lang w:eastAsia="de-DE"/>
        </w:rPr>
      </w:pPr>
      <w:r>
        <w:rPr>
          <w:noProof/>
        </w:rPr>
        <mc:AlternateContent>
          <mc:Choice Requires="wps">
            <w:drawing>
              <wp:anchor distT="0" distB="0" distL="114300" distR="114300" simplePos="0" relativeHeight="251657728" behindDoc="0" locked="0" layoutInCell="1" allowOverlap="1" wp14:anchorId="015786E1" wp14:editId="571D0159">
                <wp:simplePos x="0" y="0"/>
                <wp:positionH relativeFrom="column">
                  <wp:posOffset>0</wp:posOffset>
                </wp:positionH>
                <wp:positionV relativeFrom="paragraph">
                  <wp:posOffset>0</wp:posOffset>
                </wp:positionV>
                <wp:extent cx="635000" cy="635000"/>
                <wp:effectExtent l="0" t="0" r="3175" b="3175"/>
                <wp:wrapNone/>
                <wp:docPr id="204046493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ABE1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94A56" w:rsidRPr="00994A56">
        <w:t xml:space="preserve">1] </w:t>
      </w:r>
      <w:proofErr w:type="spellStart"/>
      <w:r w:rsidR="00994A56" w:rsidRPr="00994A56">
        <w:t>Gemmi</w:t>
      </w:r>
      <w:proofErr w:type="spellEnd"/>
      <w:r w:rsidR="00994A56" w:rsidRPr="00994A56">
        <w:t xml:space="preserve">, M., </w:t>
      </w:r>
      <w:proofErr w:type="spellStart"/>
      <w:r w:rsidR="00994A56" w:rsidRPr="00994A56">
        <w:t>Mugnaioli</w:t>
      </w:r>
      <w:proofErr w:type="spellEnd"/>
      <w:r w:rsidR="00994A56" w:rsidRPr="00994A56">
        <w:t xml:space="preserve">, E., Gorelik, T., Kolb, U., Palatinus, L., </w:t>
      </w:r>
      <w:proofErr w:type="spellStart"/>
      <w:r w:rsidR="00994A56" w:rsidRPr="00994A56">
        <w:t>Boullay</w:t>
      </w:r>
      <w:proofErr w:type="spellEnd"/>
      <w:r w:rsidR="00994A56" w:rsidRPr="00994A56">
        <w:t xml:space="preserve">, P., </w:t>
      </w:r>
      <w:proofErr w:type="spellStart"/>
      <w:r w:rsidR="00994A56" w:rsidRPr="00994A56">
        <w:t>Hovmöller</w:t>
      </w:r>
      <w:proofErr w:type="spellEnd"/>
      <w:r w:rsidR="00994A56" w:rsidRPr="00994A56">
        <w:t xml:space="preserve">, S. &amp; Abrahams, J. (2019). </w:t>
      </w:r>
      <w:r w:rsidR="00994A56" w:rsidRPr="00697E2F">
        <w:t xml:space="preserve">ACS Cent. Sci. </w:t>
      </w:r>
      <w:r w:rsidR="00994A56" w:rsidRPr="00697E2F">
        <w:rPr>
          <w:b/>
        </w:rPr>
        <w:t>5</w:t>
      </w:r>
      <w:r w:rsidR="00994A56" w:rsidRPr="00697E2F">
        <w:t>, 1315–1329.</w:t>
      </w:r>
    </w:p>
    <w:p w14:paraId="603B5BA8" w14:textId="5944128E" w:rsidR="00994A56" w:rsidRDefault="00994A56" w:rsidP="00C84B3E">
      <w:pPr>
        <w:pStyle w:val="Heading4"/>
      </w:pPr>
      <w:r w:rsidRPr="00856C39">
        <w:t xml:space="preserve">[2] Palatinus, L., Petricek, V. &amp; Correa, C. A. (2015). </w:t>
      </w:r>
      <w:r w:rsidRPr="00697E2F">
        <w:t xml:space="preserve">Acta </w:t>
      </w:r>
      <w:proofErr w:type="spellStart"/>
      <w:r w:rsidRPr="00697E2F">
        <w:t>Cryst</w:t>
      </w:r>
      <w:proofErr w:type="spellEnd"/>
      <w:r w:rsidRPr="00697E2F">
        <w:t>. A71, 235-244</w:t>
      </w:r>
      <w:r>
        <w:t>.</w:t>
      </w:r>
    </w:p>
    <w:p w14:paraId="30643DB4" w14:textId="76DEDD4C" w:rsidR="00994A56" w:rsidRPr="00994A56" w:rsidRDefault="00994A56" w:rsidP="00C84B3E">
      <w:pPr>
        <w:pStyle w:val="Heading4"/>
      </w:pPr>
      <w:r>
        <w:t xml:space="preserve">[3] </w:t>
      </w:r>
      <w:r w:rsidRPr="00697E2F">
        <w:t>Petříček, V., Palatinus, L., Plášil, J., Dušek, M. (2023).</w:t>
      </w:r>
      <w:r w:rsidRPr="00697E2F">
        <w:rPr>
          <w:i/>
          <w:iCs/>
        </w:rPr>
        <w:t xml:space="preserve"> Z. Krist.</w:t>
      </w:r>
      <w:r w:rsidRPr="00697E2F">
        <w:t xml:space="preserve">, </w:t>
      </w:r>
      <w:r w:rsidRPr="00697E2F">
        <w:rPr>
          <w:b/>
        </w:rPr>
        <w:t>238</w:t>
      </w:r>
      <w:r w:rsidRPr="00697E2F">
        <w:t>, 271-282</w:t>
      </w:r>
      <w:r w:rsidR="00C84B3E">
        <w:t>.</w:t>
      </w:r>
    </w:p>
    <w:p w14:paraId="589904BC" w14:textId="38A726FE" w:rsidR="004474C5" w:rsidRDefault="00994A56" w:rsidP="00994A56">
      <w:pPr>
        <w:pStyle w:val="Acknowledgement"/>
      </w:pPr>
      <w:r w:rsidRPr="00994A56">
        <w:rPr>
          <w:iCs/>
          <w:lang w:eastAsia="cs-CZ"/>
        </w:rPr>
        <w:t xml:space="preserve">This research was funded by the European Union’s Horizon 2020 research and innovation programme under the Marie Skłodowska-Curie grant agreement No 956099 (NanED – Electron </w:t>
      </w:r>
      <w:proofErr w:type="spellStart"/>
      <w:r w:rsidRPr="00994A56">
        <w:rPr>
          <w:iCs/>
          <w:lang w:eastAsia="cs-CZ"/>
        </w:rPr>
        <w:t>Nanocrystallography</w:t>
      </w:r>
      <w:proofErr w:type="spellEnd"/>
      <w:r w:rsidRPr="00994A56">
        <w:rPr>
          <w:iCs/>
          <w:lang w:eastAsia="cs-CZ"/>
        </w:rPr>
        <w:t xml:space="preserve"> – H2020-MSCAITN</w:t>
      </w:r>
    </w:p>
    <w:sectPr w:rsidR="004474C5">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ADFB" w14:textId="77777777" w:rsidR="00F21342" w:rsidRDefault="00F21342">
      <w:pPr>
        <w:spacing w:after="0"/>
      </w:pPr>
      <w:r>
        <w:separator/>
      </w:r>
    </w:p>
  </w:endnote>
  <w:endnote w:type="continuationSeparator" w:id="0">
    <w:p w14:paraId="6D744FD1" w14:textId="77777777" w:rsidR="00F21342" w:rsidRDefault="00F21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0997" w14:textId="77777777" w:rsidR="004474C5" w:rsidRDefault="00000000">
    <w:pPr>
      <w:pStyle w:val="Footer"/>
    </w:pPr>
    <w:r>
      <w:t xml:space="preserve">Acta </w:t>
    </w:r>
    <w:proofErr w:type="spellStart"/>
    <w:r>
      <w:t>Cryst</w:t>
    </w:r>
    <w:proofErr w:type="spellEnd"/>
    <w:r>
      <w:t>. (2025). A81, e1</w:t>
    </w:r>
  </w:p>
  <w:p w14:paraId="115BC325" w14:textId="77777777" w:rsidR="004474C5" w:rsidRDefault="004474C5">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7CD6" w14:textId="77777777" w:rsidR="00F21342" w:rsidRDefault="00F21342">
      <w:pPr>
        <w:spacing w:after="0"/>
      </w:pPr>
      <w:r>
        <w:separator/>
      </w:r>
    </w:p>
  </w:footnote>
  <w:footnote w:type="continuationSeparator" w:id="0">
    <w:p w14:paraId="299A85B8" w14:textId="77777777" w:rsidR="00F21342" w:rsidRDefault="00F21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B854" w14:textId="79DA9AD6" w:rsidR="004474C5" w:rsidRDefault="00000000">
    <w:pPr>
      <w:tabs>
        <w:tab w:val="center" w:pos="4703"/>
        <w:tab w:val="right" w:pos="9406"/>
      </w:tabs>
    </w:pPr>
    <w:r>
      <w:rPr>
        <w:b/>
        <w:bCs/>
      </w:rPr>
      <w:t>MS</w:t>
    </w:r>
    <w:r w:rsidR="003D77E9">
      <w:rPr>
        <w:b/>
        <w:bCs/>
      </w:rPr>
      <w:t xml:space="preserve"> 40</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C5"/>
    <w:rsid w:val="00084CB7"/>
    <w:rsid w:val="002F2150"/>
    <w:rsid w:val="00303687"/>
    <w:rsid w:val="003D77E9"/>
    <w:rsid w:val="00411C32"/>
    <w:rsid w:val="004474C5"/>
    <w:rsid w:val="004804A7"/>
    <w:rsid w:val="005109BC"/>
    <w:rsid w:val="0058004A"/>
    <w:rsid w:val="005B6011"/>
    <w:rsid w:val="005F599E"/>
    <w:rsid w:val="007743D8"/>
    <w:rsid w:val="007D5A22"/>
    <w:rsid w:val="00856C39"/>
    <w:rsid w:val="008A53C8"/>
    <w:rsid w:val="008B19D5"/>
    <w:rsid w:val="00994A56"/>
    <w:rsid w:val="00A76DFF"/>
    <w:rsid w:val="00AA2C04"/>
    <w:rsid w:val="00AE2F68"/>
    <w:rsid w:val="00B47B5E"/>
    <w:rsid w:val="00C243DE"/>
    <w:rsid w:val="00C678C8"/>
    <w:rsid w:val="00C84B3E"/>
    <w:rsid w:val="00CA7F2B"/>
    <w:rsid w:val="00DF5E4C"/>
    <w:rsid w:val="00E32076"/>
    <w:rsid w:val="00E320AB"/>
    <w:rsid w:val="00F013DE"/>
    <w:rsid w:val="00F11911"/>
    <w:rsid w:val="00F21342"/>
    <w:rsid w:val="00F770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31FFD"/>
  <w15:docId w15:val="{B7E3F44E-AAE6-4CB4-B98D-414B1608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3C8"/>
    <w:rPr>
      <w:color w:val="0563C1" w:themeColor="hyperlink"/>
      <w:u w:val="single"/>
    </w:rPr>
  </w:style>
  <w:style w:type="character" w:styleId="UnresolvedMention">
    <w:name w:val="Unresolved Mention"/>
    <w:basedOn w:val="DefaultParagraphFont"/>
    <w:uiPriority w:val="99"/>
    <w:semiHidden/>
    <w:unhideWhenUsed/>
    <w:rsid w:val="008A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648</Words>
  <Characters>3605</Characters>
  <Application>Microsoft Office Word</Application>
  <DocSecurity>0</DocSecurity>
  <Lines>100</Lines>
  <Paragraphs>64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Hrushikesh Chintakindi</cp:lastModifiedBy>
  <cp:revision>28</cp:revision>
  <dcterms:created xsi:type="dcterms:W3CDTF">2025-05-09T10:42:00Z</dcterms:created>
  <dcterms:modified xsi:type="dcterms:W3CDTF">2025-05-09T13:56:00Z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346d945c-c87f-402b-8adf-dbe15ee24633</vt:lpwstr>
  </property>
</Properties>
</file>