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D39C" w14:textId="77777777" w:rsidR="00193FFF" w:rsidRDefault="00000000" w:rsidP="00205A91">
      <w:pPr>
        <w:spacing w:after="131" w:line="259" w:lineRule="auto"/>
        <w:ind w:left="1175" w:hanging="1175"/>
        <w:jc w:val="center"/>
      </w:pPr>
      <w:r>
        <w:rPr>
          <w:sz w:val="34"/>
        </w:rPr>
        <w:t>Modeling and Refinement of Metal Coordination Environments with MetalCoord</w:t>
      </w:r>
    </w:p>
    <w:p w14:paraId="2452BB21" w14:textId="62C12A04" w:rsidR="00193FFF" w:rsidRDefault="00000000" w:rsidP="00205A91">
      <w:pPr>
        <w:spacing w:after="4" w:line="267" w:lineRule="auto"/>
        <w:ind w:left="0" w:firstLine="0"/>
        <w:jc w:val="center"/>
      </w:pPr>
      <w:r>
        <w:rPr>
          <w:sz w:val="24"/>
        </w:rPr>
        <w:t>Kaveh H. Babai</w:t>
      </w:r>
      <w:r>
        <w:rPr>
          <w:sz w:val="24"/>
          <w:vertAlign w:val="superscript"/>
        </w:rPr>
        <w:t>1</w:t>
      </w:r>
      <w:r>
        <w:rPr>
          <w:sz w:val="24"/>
        </w:rPr>
        <w:t>, Fei Long</w:t>
      </w:r>
      <w:r>
        <w:rPr>
          <w:sz w:val="24"/>
          <w:vertAlign w:val="superscript"/>
        </w:rPr>
        <w:t>2</w:t>
      </w:r>
      <w:r>
        <w:rPr>
          <w:sz w:val="24"/>
        </w:rPr>
        <w:t>, Martin Maly´</w:t>
      </w:r>
      <w:r>
        <w:rPr>
          <w:sz w:val="24"/>
          <w:vertAlign w:val="superscript"/>
        </w:rPr>
        <w:t>2</w:t>
      </w:r>
      <w:r>
        <w:rPr>
          <w:sz w:val="24"/>
        </w:rPr>
        <w:t>, Keitaro Yamashita</w:t>
      </w:r>
      <w:r>
        <w:rPr>
          <w:sz w:val="24"/>
          <w:vertAlign w:val="superscript"/>
        </w:rPr>
        <w:t>3</w:t>
      </w:r>
      <w:r>
        <w:rPr>
          <w:sz w:val="24"/>
        </w:rPr>
        <w:t>,</w:t>
      </w:r>
      <w:r w:rsidR="00205A91">
        <w:rPr>
          <w:sz w:val="24"/>
        </w:rPr>
        <w:t xml:space="preserve"> </w:t>
      </w:r>
      <w:r>
        <w:rPr>
          <w:sz w:val="24"/>
        </w:rPr>
        <w:t>and Garib N. Murshudov</w:t>
      </w:r>
      <w:r>
        <w:rPr>
          <w:sz w:val="24"/>
          <w:vertAlign w:val="superscript"/>
        </w:rPr>
        <w:t>2,1</w:t>
      </w:r>
    </w:p>
    <w:p w14:paraId="14E194EB" w14:textId="77777777" w:rsidR="00193FFF" w:rsidRDefault="00000000" w:rsidP="00205A91">
      <w:pPr>
        <w:spacing w:after="4" w:line="267" w:lineRule="auto"/>
        <w:ind w:left="0"/>
        <w:jc w:val="center"/>
      </w:pPr>
      <w:r>
        <w:rPr>
          <w:sz w:val="24"/>
          <w:vertAlign w:val="superscript"/>
        </w:rPr>
        <w:t>1</w:t>
      </w:r>
      <w:r>
        <w:rPr>
          <w:sz w:val="24"/>
        </w:rPr>
        <w:t>Institute of Molecular Biology and Biotechnology, Ministry of</w:t>
      </w:r>
    </w:p>
    <w:p w14:paraId="2D1AAA21" w14:textId="77777777" w:rsidR="00193FFF" w:rsidRDefault="00000000" w:rsidP="00205A91">
      <w:pPr>
        <w:spacing w:after="4" w:line="267" w:lineRule="auto"/>
        <w:ind w:left="1048"/>
        <w:jc w:val="center"/>
      </w:pPr>
      <w:r>
        <w:rPr>
          <w:sz w:val="24"/>
        </w:rPr>
        <w:t>Science and Education, Baku, Azerbaijan</w:t>
      </w:r>
    </w:p>
    <w:p w14:paraId="72FD74A6" w14:textId="77777777" w:rsidR="00193FFF" w:rsidRDefault="00000000" w:rsidP="00205A91">
      <w:pPr>
        <w:spacing w:after="4" w:line="267" w:lineRule="auto"/>
        <w:ind w:left="1141" w:hanging="1201"/>
        <w:jc w:val="center"/>
      </w:pPr>
      <w:r>
        <w:rPr>
          <w:sz w:val="24"/>
          <w:vertAlign w:val="superscript"/>
        </w:rPr>
        <w:t>2</w:t>
      </w:r>
      <w:r>
        <w:rPr>
          <w:sz w:val="24"/>
        </w:rPr>
        <w:t>MRC Laboratory of Molecular Biology, Francis Crick Avenue, Cambridge CB2 0QH, United Kingdom</w:t>
      </w:r>
    </w:p>
    <w:p w14:paraId="0070FB25" w14:textId="77777777" w:rsidR="00193FFF" w:rsidRDefault="00000000" w:rsidP="00205A91">
      <w:pPr>
        <w:spacing w:after="4" w:line="267" w:lineRule="auto"/>
        <w:ind w:left="97"/>
        <w:jc w:val="center"/>
      </w:pPr>
      <w:r>
        <w:rPr>
          <w:sz w:val="24"/>
          <w:vertAlign w:val="superscript"/>
        </w:rPr>
        <w:t>3</w:t>
      </w:r>
      <w:r>
        <w:rPr>
          <w:sz w:val="24"/>
        </w:rPr>
        <w:t>Structural Biology Division, Research Center for Advanced</w:t>
      </w:r>
    </w:p>
    <w:p w14:paraId="095F7138" w14:textId="77777777" w:rsidR="00193FFF" w:rsidRDefault="00000000" w:rsidP="00205A91">
      <w:pPr>
        <w:spacing w:after="4" w:line="267" w:lineRule="auto"/>
        <w:ind w:left="0"/>
        <w:jc w:val="center"/>
      </w:pPr>
      <w:r>
        <w:rPr>
          <w:sz w:val="24"/>
        </w:rPr>
        <w:t>Science and Technology, The University of Tokyo, 4-6-1 Komaba,</w:t>
      </w:r>
    </w:p>
    <w:p w14:paraId="2D871C5B" w14:textId="77777777" w:rsidR="00193FFF" w:rsidRDefault="00000000" w:rsidP="00205A91">
      <w:pPr>
        <w:spacing w:after="597" w:line="267" w:lineRule="auto"/>
        <w:ind w:left="1368"/>
        <w:jc w:val="center"/>
      </w:pPr>
      <w:r>
        <w:rPr>
          <w:sz w:val="24"/>
        </w:rPr>
        <w:t>Meguro-ku, Tokyo 153-8904, Japan</w:t>
      </w:r>
    </w:p>
    <w:p w14:paraId="33579814" w14:textId="77777777" w:rsidR="00193FFF" w:rsidRDefault="00000000">
      <w:pPr>
        <w:spacing w:after="77" w:line="259" w:lineRule="auto"/>
        <w:ind w:left="0" w:right="274" w:firstLine="0"/>
        <w:jc w:val="center"/>
      </w:pPr>
      <w:r>
        <w:rPr>
          <w:b/>
        </w:rPr>
        <w:t>Abstract</w:t>
      </w:r>
    </w:p>
    <w:p w14:paraId="4723F5BD" w14:textId="256C264F" w:rsidR="00C52051" w:rsidRDefault="00000000" w:rsidP="00C52051">
      <w:pPr>
        <w:spacing w:after="9"/>
        <w:ind w:left="412" w:firstLine="276"/>
      </w:pPr>
      <w:r>
        <w:t xml:space="preserve">Accurate modeling of metal coordination environments remains a challenge in macromolecular crystallography due to the complexity and variability of metal-ligand interactions. We present </w:t>
      </w:r>
      <w:r>
        <w:rPr>
          <w:i/>
        </w:rPr>
        <w:t>MetalCoord</w:t>
      </w:r>
      <w:r>
        <w:t xml:space="preserve">, a computational tool designed to address this issue by systematically extracting and analyzing coordination geometries from the Crystallography Open Database (COD) [1]. </w:t>
      </w:r>
      <w:r>
        <w:rPr>
          <w:i/>
        </w:rPr>
        <w:t xml:space="preserve">MetalCoord </w:t>
      </w:r>
      <w:r>
        <w:t>uses a statistical framework, including Procrustes analysis and the symmetrized von Mises distribution [2], enabling reliable determination of metal-ligand bond lengths and angles.</w:t>
      </w:r>
      <w:r w:rsidR="00C52051">
        <w:t xml:space="preserve"> </w:t>
      </w:r>
      <w:r>
        <w:t xml:space="preserve">The software is freely available at </w:t>
      </w:r>
      <w:hyperlink r:id="rId5">
        <w:r w:rsidR="00193FFF">
          <w:rPr>
            <w:rFonts w:ascii="Calibri" w:eastAsia="Calibri" w:hAnsi="Calibri" w:cs="Calibri"/>
          </w:rPr>
          <w:t>https://github.com/Lekaveh/MetalCoordAnalysis</w:t>
        </w:r>
      </w:hyperlink>
      <w:hyperlink r:id="rId6">
        <w:r w:rsidR="00193FFF">
          <w:t xml:space="preserve">. </w:t>
        </w:r>
      </w:hyperlink>
      <w:r>
        <w:t xml:space="preserve">Our analysis involved extracting coordination geometry data from over 228,000 metal environments in the COD, leading to the classification of various coordination geometries and improvements in metal-containing ligand dictionaries within the CCP4 monomer library [3, 4. Integration of </w:t>
      </w:r>
      <w:r>
        <w:rPr>
          <w:i/>
        </w:rPr>
        <w:t xml:space="preserve">MetalCoord </w:t>
      </w:r>
      <w:r>
        <w:t>into macromolecular structure refinement workflows, such as Servalcat and AceDRG [5, 3], has improved refinement accuracy, particularly for complex metal-ligand interactions like heme groups and iron-sulfur clusters.</w:t>
      </w:r>
    </w:p>
    <w:p w14:paraId="2A341B02" w14:textId="4C147045" w:rsidR="00193FFF" w:rsidRDefault="00000000" w:rsidP="00C52051">
      <w:pPr>
        <w:spacing w:after="9"/>
        <w:ind w:left="412" w:firstLine="276"/>
      </w:pPr>
      <w:r>
        <w:t xml:space="preserve">The application of </w:t>
      </w:r>
      <w:r>
        <w:rPr>
          <w:i/>
        </w:rPr>
        <w:t xml:space="preserve">MetalCoord </w:t>
      </w:r>
      <w:r>
        <w:t>has updated stereochemical parameters for metal-containing ligands across many Protein Data Bank (PDB) entries, resulting in clearer metal environments and chemically accurate macromolecular models [6]. This development contributes to refining metal-containing macromolecular structures and enhances structural biology computations.</w:t>
      </w:r>
    </w:p>
    <w:p w14:paraId="2BFCE29C" w14:textId="77777777" w:rsidR="00193FFF" w:rsidRDefault="00000000">
      <w:pPr>
        <w:spacing w:after="302" w:line="259" w:lineRule="auto"/>
        <w:ind w:left="10" w:right="274"/>
        <w:jc w:val="center"/>
      </w:pPr>
      <w:r>
        <w:rPr>
          <w:sz w:val="20"/>
        </w:rPr>
        <w:t>1</w:t>
      </w:r>
    </w:p>
    <w:p w14:paraId="1F8E4E12" w14:textId="77777777" w:rsidR="00193FFF" w:rsidRDefault="00000000">
      <w:pPr>
        <w:pStyle w:val="Heading1"/>
      </w:pPr>
      <w:r>
        <w:t>References</w:t>
      </w:r>
    </w:p>
    <w:p w14:paraId="3155C263" w14:textId="77777777" w:rsidR="00193FFF" w:rsidRDefault="00000000">
      <w:pPr>
        <w:numPr>
          <w:ilvl w:val="0"/>
          <w:numId w:val="1"/>
        </w:numPr>
        <w:ind w:hanging="294"/>
      </w:pPr>
      <w:r>
        <w:t xml:space="preserve">Graˇzulis, S. et al. (2009). </w:t>
      </w:r>
      <w:r>
        <w:rPr>
          <w:i/>
        </w:rPr>
        <w:t>J. Appl. Cryst.</w:t>
      </w:r>
      <w:r>
        <w:t xml:space="preserve">, </w:t>
      </w:r>
      <w:r>
        <w:rPr>
          <w:b/>
        </w:rPr>
        <w:t>42</w:t>
      </w:r>
      <w:r>
        <w:t>, 726-729.</w:t>
      </w:r>
    </w:p>
    <w:p w14:paraId="420F0C22" w14:textId="77777777" w:rsidR="00193FFF" w:rsidRDefault="00000000">
      <w:pPr>
        <w:numPr>
          <w:ilvl w:val="0"/>
          <w:numId w:val="1"/>
        </w:numPr>
        <w:ind w:hanging="294"/>
      </w:pPr>
      <w:r>
        <w:t xml:space="preserve">Dryden, I. L. &amp; Mardia, K. V. (2016). </w:t>
      </w:r>
      <w:r>
        <w:rPr>
          <w:i/>
        </w:rPr>
        <w:t>Statistical Shape Analysis, with Applications in R</w:t>
      </w:r>
      <w:r>
        <w:t>. John Wiley &amp; Sons.</w:t>
      </w:r>
    </w:p>
    <w:p w14:paraId="565148B8" w14:textId="77777777" w:rsidR="00193FFF" w:rsidRDefault="00000000">
      <w:pPr>
        <w:numPr>
          <w:ilvl w:val="0"/>
          <w:numId w:val="1"/>
        </w:numPr>
        <w:ind w:hanging="294"/>
      </w:pPr>
      <w:r>
        <w:t xml:space="preserve">Long, F. et al. (2017). </w:t>
      </w:r>
      <w:r>
        <w:rPr>
          <w:i/>
        </w:rPr>
        <w:t>Acta Cryst. D</w:t>
      </w:r>
      <w:r>
        <w:t xml:space="preserve">, </w:t>
      </w:r>
      <w:r>
        <w:rPr>
          <w:b/>
        </w:rPr>
        <w:t>73</w:t>
      </w:r>
      <w:r>
        <w:t>, 112-122.</w:t>
      </w:r>
    </w:p>
    <w:p w14:paraId="075FA8EB" w14:textId="77777777" w:rsidR="00193FFF" w:rsidRDefault="00000000">
      <w:pPr>
        <w:numPr>
          <w:ilvl w:val="0"/>
          <w:numId w:val="1"/>
        </w:numPr>
        <w:ind w:hanging="294"/>
      </w:pPr>
      <w:r>
        <w:t xml:space="preserve">Vagin, A. A. et al. (2004). </w:t>
      </w:r>
      <w:r>
        <w:rPr>
          <w:i/>
        </w:rPr>
        <w:t>Acta Cryst. D</w:t>
      </w:r>
      <w:r>
        <w:t xml:space="preserve">, </w:t>
      </w:r>
      <w:r>
        <w:rPr>
          <w:b/>
        </w:rPr>
        <w:t>60</w:t>
      </w:r>
      <w:r>
        <w:t>, 2184-2195.</w:t>
      </w:r>
    </w:p>
    <w:p w14:paraId="7BDFEC53" w14:textId="77777777" w:rsidR="00193FFF" w:rsidRDefault="00000000">
      <w:pPr>
        <w:numPr>
          <w:ilvl w:val="0"/>
          <w:numId w:val="1"/>
        </w:numPr>
        <w:ind w:hanging="294"/>
      </w:pPr>
      <w:r>
        <w:t xml:space="preserve">Yamashita, K. et al. (2021). </w:t>
      </w:r>
      <w:r>
        <w:rPr>
          <w:i/>
        </w:rPr>
        <w:t>Acta Cryst. D</w:t>
      </w:r>
      <w:r>
        <w:t xml:space="preserve">, </w:t>
      </w:r>
      <w:r>
        <w:rPr>
          <w:b/>
        </w:rPr>
        <w:t>77</w:t>
      </w:r>
      <w:r>
        <w:t>, 1282-1291.</w:t>
      </w:r>
    </w:p>
    <w:p w14:paraId="587A2BC1" w14:textId="77777777" w:rsidR="00193FFF" w:rsidRDefault="00000000">
      <w:pPr>
        <w:numPr>
          <w:ilvl w:val="0"/>
          <w:numId w:val="1"/>
        </w:numPr>
        <w:spacing w:after="9023"/>
        <w:ind w:hanging="294"/>
      </w:pPr>
      <w:r>
        <w:t xml:space="preserve">Babai, K. H. et al. (2024). </w:t>
      </w:r>
      <w:r>
        <w:rPr>
          <w:i/>
        </w:rPr>
        <w:t>Acta Cryst. D</w:t>
      </w:r>
      <w:r>
        <w:t xml:space="preserve">, </w:t>
      </w:r>
      <w:r>
        <w:rPr>
          <w:b/>
        </w:rPr>
        <w:t>80</w:t>
      </w:r>
      <w:r>
        <w:t>, 821-833.</w:t>
      </w:r>
    </w:p>
    <w:p w14:paraId="61ED71D7" w14:textId="77777777" w:rsidR="00193FFF" w:rsidRDefault="00000000">
      <w:pPr>
        <w:spacing w:after="302" w:line="259" w:lineRule="auto"/>
        <w:ind w:left="10" w:right="274"/>
        <w:jc w:val="center"/>
      </w:pPr>
      <w:r>
        <w:rPr>
          <w:sz w:val="20"/>
        </w:rPr>
        <w:t>2</w:t>
      </w:r>
    </w:p>
    <w:sectPr w:rsidR="00193FFF">
      <w:pgSz w:w="12240" w:h="15840"/>
      <w:pgMar w:top="2496" w:right="2487" w:bottom="1749" w:left="2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B049B"/>
    <w:multiLevelType w:val="hybridMultilevel"/>
    <w:tmpl w:val="9AB6A90E"/>
    <w:lvl w:ilvl="0" w:tplc="2EA033EC">
      <w:start w:val="1"/>
      <w:numFmt w:val="decimal"/>
      <w:lvlText w:val="[%1]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78B14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A2D61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ACB29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7ECA8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08995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B43B7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9EFD0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C8BFA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543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FF"/>
    <w:rsid w:val="00193FFF"/>
    <w:rsid w:val="001B2CB5"/>
    <w:rsid w:val="00205A91"/>
    <w:rsid w:val="002E27FF"/>
    <w:rsid w:val="006F7DE7"/>
    <w:rsid w:val="008E1441"/>
    <w:rsid w:val="00B4603E"/>
    <w:rsid w:val="00C5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0B752"/>
  <w15:docId w15:val="{2D1C0038-B495-4BCA-B2F7-4099351B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3" w:line="264" w:lineRule="auto"/>
      <w:ind w:left="437" w:hanging="10"/>
      <w:jc w:val="both"/>
    </w:pPr>
    <w:rPr>
      <w:rFonts w:ascii="Cambria" w:eastAsia="Cambria" w:hAnsi="Cambria" w:cs="Cambria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3" w:line="259" w:lineRule="auto"/>
      <w:ind w:left="427"/>
      <w:outlineLvl w:val="0"/>
    </w:pPr>
    <w:rPr>
      <w:rFonts w:ascii="Cambria" w:eastAsia="Cambria" w:hAnsi="Cambria" w:cs="Cambria"/>
      <w:b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Lekaveh/MetalCoordAnalysis" TargetMode="External"/><Relationship Id="rId5" Type="http://schemas.openxmlformats.org/officeDocument/2006/relationships/hyperlink" Target="https://github.com/Lekaveh/MetalCoordAnalys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 Babai</dc:creator>
  <cp:keywords/>
  <cp:lastModifiedBy>Kaveh Babai</cp:lastModifiedBy>
  <cp:revision>3</cp:revision>
  <dcterms:created xsi:type="dcterms:W3CDTF">2025-05-10T10:01:00Z</dcterms:created>
  <dcterms:modified xsi:type="dcterms:W3CDTF">2025-05-10T10:44:00Z</dcterms:modified>
</cp:coreProperties>
</file>