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D8AF" w14:textId="111B3281" w:rsidR="00391B48" w:rsidRPr="00391B48" w:rsidRDefault="00391B48" w:rsidP="00391B48">
      <w:pPr>
        <w:pStyle w:val="Heading2"/>
        <w:rPr>
          <w:kern w:val="2"/>
          <w:sz w:val="24"/>
          <w:szCs w:val="32"/>
          <w:lang w:val="en-US"/>
        </w:rPr>
      </w:pPr>
      <w:r w:rsidRPr="00391B48">
        <w:rPr>
          <w:kern w:val="2"/>
          <w:sz w:val="24"/>
          <w:szCs w:val="32"/>
          <w:lang w:val="en-US"/>
        </w:rPr>
        <w:t>Hydrogen storage in hydrogen hydrate</w:t>
      </w:r>
      <w:r>
        <w:rPr>
          <w:kern w:val="2"/>
          <w:sz w:val="24"/>
          <w:szCs w:val="32"/>
          <w:lang w:val="en-US"/>
        </w:rPr>
        <w:t>s at high pressure</w:t>
      </w:r>
    </w:p>
    <w:p w14:paraId="10B313C1" w14:textId="77777777" w:rsidR="00391B48" w:rsidRPr="00391B48" w:rsidRDefault="00391B48" w:rsidP="00391B48">
      <w:pPr>
        <w:pStyle w:val="Heading3"/>
        <w:rPr>
          <w:rFonts w:ascii="Arial" w:hAnsi="Arial" w:cs="Arial"/>
          <w:b/>
          <w:i w:val="0"/>
          <w:szCs w:val="28"/>
          <w:lang w:val="en-US"/>
        </w:rPr>
      </w:pPr>
      <w:r w:rsidRPr="00391B48">
        <w:rPr>
          <w:rFonts w:ascii="Arial" w:hAnsi="Arial" w:cs="Arial"/>
          <w:b/>
          <w:i w:val="0"/>
          <w:szCs w:val="28"/>
          <w:lang w:val="en-US"/>
        </w:rPr>
        <w:t>Tomasz Poręba</w:t>
      </w:r>
      <w:r w:rsidRPr="00391B48">
        <w:rPr>
          <w:rFonts w:ascii="Arial" w:hAnsi="Arial" w:cs="Arial"/>
          <w:b/>
          <w:i w:val="0"/>
          <w:szCs w:val="28"/>
          <w:vertAlign w:val="superscript"/>
          <w:lang w:val="en-US"/>
        </w:rPr>
        <w:t>1</w:t>
      </w:r>
      <w:r w:rsidRPr="00391B48">
        <w:rPr>
          <w:rFonts w:ascii="Arial" w:hAnsi="Arial" w:cs="Arial"/>
          <w:b/>
          <w:i w:val="0"/>
          <w:szCs w:val="28"/>
          <w:lang w:val="en-US"/>
        </w:rPr>
        <w:t xml:space="preserve">, Leon Andriambariarijaona </w:t>
      </w:r>
      <w:r w:rsidRPr="00391B48">
        <w:rPr>
          <w:rFonts w:ascii="Arial" w:hAnsi="Arial" w:cs="Arial"/>
          <w:b/>
          <w:i w:val="0"/>
          <w:szCs w:val="28"/>
          <w:vertAlign w:val="superscript"/>
          <w:lang w:val="en-US"/>
        </w:rPr>
        <w:t>2</w:t>
      </w:r>
      <w:r w:rsidRPr="00391B48">
        <w:rPr>
          <w:rFonts w:ascii="Arial" w:hAnsi="Arial" w:cs="Arial"/>
          <w:b/>
          <w:i w:val="0"/>
          <w:szCs w:val="28"/>
          <w:lang w:val="en-US"/>
        </w:rPr>
        <w:t>, M. Rescigno</w:t>
      </w:r>
      <w:r w:rsidRPr="00391B48">
        <w:rPr>
          <w:rFonts w:ascii="Arial" w:hAnsi="Arial" w:cs="Arial"/>
          <w:b/>
          <w:i w:val="0"/>
          <w:szCs w:val="28"/>
          <w:vertAlign w:val="superscript"/>
          <w:lang w:val="en-US"/>
        </w:rPr>
        <w:t>1,3</w:t>
      </w:r>
      <w:r w:rsidRPr="00391B48">
        <w:rPr>
          <w:rFonts w:ascii="Arial" w:hAnsi="Arial" w:cs="Arial"/>
          <w:b/>
          <w:i w:val="0"/>
          <w:szCs w:val="28"/>
          <w:lang w:val="en-US"/>
        </w:rPr>
        <w:t>, R. Gaal</w:t>
      </w:r>
      <w:r w:rsidRPr="00391B48">
        <w:rPr>
          <w:rFonts w:ascii="Arial" w:hAnsi="Arial" w:cs="Arial"/>
          <w:b/>
          <w:i w:val="0"/>
          <w:szCs w:val="28"/>
          <w:vertAlign w:val="superscript"/>
          <w:lang w:val="en-US"/>
        </w:rPr>
        <w:t>1</w:t>
      </w:r>
      <w:r w:rsidRPr="00391B48">
        <w:rPr>
          <w:rFonts w:ascii="Arial" w:hAnsi="Arial" w:cs="Arial"/>
          <w:b/>
          <w:i w:val="0"/>
          <w:szCs w:val="28"/>
          <w:lang w:val="en-US"/>
        </w:rPr>
        <w:t>, Livia Bove</w:t>
      </w:r>
      <w:r w:rsidRPr="00391B48">
        <w:rPr>
          <w:rFonts w:ascii="Arial" w:hAnsi="Arial" w:cs="Arial"/>
          <w:b/>
          <w:i w:val="0"/>
          <w:szCs w:val="28"/>
          <w:vertAlign w:val="superscript"/>
          <w:lang w:val="en-US"/>
        </w:rPr>
        <w:t>1,2,3</w:t>
      </w:r>
    </w:p>
    <w:p w14:paraId="17576064" w14:textId="69CC3028" w:rsidR="00391B48" w:rsidRPr="00BC6E56" w:rsidRDefault="00391B48" w:rsidP="00391B48">
      <w:pPr>
        <w:pStyle w:val="Heading3"/>
        <w:rPr>
          <w:rFonts w:eastAsia="PT Serif"/>
          <w:lang w:val="fr-FR"/>
        </w:rPr>
      </w:pPr>
      <w:r w:rsidRPr="00BC6E56">
        <w:rPr>
          <w:rFonts w:eastAsia="PT Serif"/>
          <w:vertAlign w:val="superscript"/>
          <w:lang w:val="fr-FR"/>
        </w:rPr>
        <w:t>1</w:t>
      </w:r>
      <w:r w:rsidRPr="00BC6E56">
        <w:rPr>
          <w:rFonts w:eastAsia="PT Serif"/>
          <w:lang w:val="fr-FR"/>
        </w:rPr>
        <w:t xml:space="preserve"> </w:t>
      </w:r>
      <w:proofErr w:type="spellStart"/>
      <w:r w:rsidRPr="00BC6E56">
        <w:rPr>
          <w:rFonts w:eastAsia="PT Serif"/>
          <w:lang w:val="fr-FR"/>
        </w:rPr>
        <w:t>Laboratory</w:t>
      </w:r>
      <w:proofErr w:type="spellEnd"/>
      <w:r w:rsidRPr="00BC6E56">
        <w:rPr>
          <w:rFonts w:eastAsia="PT Serif"/>
          <w:lang w:val="fr-FR"/>
        </w:rPr>
        <w:t xml:space="preserve"> for Quantum </w:t>
      </w:r>
      <w:proofErr w:type="spellStart"/>
      <w:r w:rsidRPr="00BC6E56">
        <w:rPr>
          <w:rFonts w:eastAsia="PT Serif"/>
          <w:lang w:val="fr-FR"/>
        </w:rPr>
        <w:t>Magnetism</w:t>
      </w:r>
      <w:proofErr w:type="spellEnd"/>
      <w:r w:rsidRPr="00BC6E56">
        <w:rPr>
          <w:rFonts w:eastAsia="PT Serif"/>
          <w:lang w:val="fr-FR"/>
        </w:rPr>
        <w:t xml:space="preserve">, Institute of </w:t>
      </w:r>
      <w:proofErr w:type="spellStart"/>
      <w:r w:rsidRPr="00BC6E56">
        <w:rPr>
          <w:rFonts w:eastAsia="PT Serif"/>
          <w:lang w:val="fr-FR"/>
        </w:rPr>
        <w:t>Physics</w:t>
      </w:r>
      <w:proofErr w:type="spellEnd"/>
      <w:r w:rsidRPr="00BC6E56">
        <w:rPr>
          <w:rFonts w:eastAsia="PT Serif"/>
          <w:lang w:val="fr-FR"/>
        </w:rPr>
        <w:t>, École Polytechnique Fédérale de Lausanne,</w:t>
      </w:r>
      <w:r>
        <w:rPr>
          <w:rFonts w:eastAsia="PT Serif"/>
          <w:lang w:val="fr-FR"/>
        </w:rPr>
        <w:t xml:space="preserve"> </w:t>
      </w:r>
      <w:r w:rsidRPr="00BC6E56">
        <w:rPr>
          <w:rFonts w:eastAsia="PT Serif"/>
          <w:lang w:val="fr-FR"/>
        </w:rPr>
        <w:t xml:space="preserve">CH-1015 Lausanne, </w:t>
      </w:r>
      <w:proofErr w:type="spellStart"/>
      <w:r w:rsidRPr="00BC6E56">
        <w:rPr>
          <w:rFonts w:eastAsia="PT Serif"/>
          <w:lang w:val="fr-FR"/>
        </w:rPr>
        <w:t>Switzerland</w:t>
      </w:r>
      <w:proofErr w:type="spellEnd"/>
    </w:p>
    <w:p w14:paraId="0E19AD1B" w14:textId="77777777" w:rsidR="00391B48" w:rsidRPr="00BC6E56" w:rsidRDefault="00391B48" w:rsidP="00391B48">
      <w:pPr>
        <w:pStyle w:val="Heading3"/>
        <w:rPr>
          <w:rFonts w:eastAsia="PT Serif"/>
          <w:lang w:val="fr-FR"/>
        </w:rPr>
      </w:pPr>
      <w:r w:rsidRPr="00BC6E56">
        <w:rPr>
          <w:rFonts w:eastAsia="PT Serif"/>
          <w:vertAlign w:val="superscript"/>
          <w:lang w:val="fr-FR"/>
        </w:rPr>
        <w:t>2</w:t>
      </w:r>
      <w:r w:rsidRPr="00BC6E56">
        <w:rPr>
          <w:rFonts w:eastAsia="PT Serif"/>
          <w:lang w:val="fr-FR"/>
        </w:rPr>
        <w:t xml:space="preserve"> Sorbonne Université, UMR CNRS 7590, Institut de Minéralogie, de Physique des Matériaux et de Cosmochimie, 75252 Paris, France</w:t>
      </w:r>
    </w:p>
    <w:p w14:paraId="0A1290F2" w14:textId="77777777" w:rsidR="00391B48" w:rsidRPr="00BC6E56" w:rsidRDefault="00391B48" w:rsidP="00391B48">
      <w:pPr>
        <w:pStyle w:val="Heading3"/>
        <w:rPr>
          <w:rFonts w:eastAsia="PT Serif"/>
          <w:lang w:val="fr-FR"/>
        </w:rPr>
      </w:pPr>
      <w:r w:rsidRPr="00BC6E56">
        <w:rPr>
          <w:rFonts w:eastAsia="PT Serif"/>
          <w:vertAlign w:val="superscript"/>
          <w:lang w:val="fr-FR"/>
        </w:rPr>
        <w:t>3</w:t>
      </w:r>
      <w:r w:rsidRPr="00BC6E56">
        <w:rPr>
          <w:rFonts w:eastAsia="PT Serif"/>
          <w:lang w:val="fr-FR"/>
        </w:rPr>
        <w:t xml:space="preserve"> </w:t>
      </w:r>
      <w:proofErr w:type="spellStart"/>
      <w:r w:rsidRPr="00BC6E56">
        <w:rPr>
          <w:rFonts w:eastAsia="PT Serif"/>
          <w:lang w:val="fr-FR"/>
        </w:rPr>
        <w:t>Dipartimento</w:t>
      </w:r>
      <w:proofErr w:type="spellEnd"/>
      <w:r w:rsidRPr="00BC6E56">
        <w:rPr>
          <w:rFonts w:eastAsia="PT Serif"/>
          <w:lang w:val="fr-FR"/>
        </w:rPr>
        <w:t xml:space="preserve"> di </w:t>
      </w:r>
      <w:proofErr w:type="spellStart"/>
      <w:r w:rsidRPr="00BC6E56">
        <w:rPr>
          <w:rFonts w:eastAsia="PT Serif"/>
          <w:lang w:val="fr-FR"/>
        </w:rPr>
        <w:t>Fisica</w:t>
      </w:r>
      <w:proofErr w:type="spellEnd"/>
      <w:r w:rsidRPr="00BC6E56">
        <w:rPr>
          <w:rFonts w:eastAsia="PT Serif"/>
          <w:lang w:val="fr-FR"/>
        </w:rPr>
        <w:t xml:space="preserve">, </w:t>
      </w:r>
      <w:proofErr w:type="spellStart"/>
      <w:r w:rsidRPr="00BC6E56">
        <w:rPr>
          <w:rFonts w:eastAsia="PT Serif"/>
          <w:lang w:val="fr-FR"/>
        </w:rPr>
        <w:t>Università</w:t>
      </w:r>
      <w:proofErr w:type="spellEnd"/>
      <w:r w:rsidRPr="00BC6E56">
        <w:rPr>
          <w:rFonts w:eastAsia="PT Serif"/>
          <w:lang w:val="fr-FR"/>
        </w:rPr>
        <w:t xml:space="preserve"> di Roma La </w:t>
      </w:r>
      <w:proofErr w:type="spellStart"/>
      <w:r w:rsidRPr="00BC6E56">
        <w:rPr>
          <w:rFonts w:eastAsia="PT Serif"/>
          <w:lang w:val="fr-FR"/>
        </w:rPr>
        <w:t>Sapienza</w:t>
      </w:r>
      <w:proofErr w:type="spellEnd"/>
      <w:r w:rsidRPr="00BC6E56">
        <w:rPr>
          <w:rFonts w:eastAsia="PT Serif"/>
          <w:lang w:val="fr-FR"/>
        </w:rPr>
        <w:t xml:space="preserve">, 00185 Roma, </w:t>
      </w:r>
      <w:proofErr w:type="spellStart"/>
      <w:r w:rsidRPr="00BC6E56">
        <w:rPr>
          <w:rFonts w:eastAsia="PT Serif"/>
          <w:lang w:val="fr-FR"/>
        </w:rPr>
        <w:t>Italy</w:t>
      </w:r>
      <w:proofErr w:type="spellEnd"/>
    </w:p>
    <w:p w14:paraId="70087D89" w14:textId="6C628178" w:rsidR="003F4089" w:rsidRDefault="00000000">
      <w:pPr>
        <w:pStyle w:val="Heading3"/>
        <w:rPr>
          <w:sz w:val="18"/>
          <w:szCs w:val="18"/>
        </w:rPr>
      </w:pPr>
      <w:r>
        <w:t xml:space="preserve">Email of communicating </w:t>
      </w:r>
      <w:r w:rsidR="00391B48" w:rsidRPr="00391B48">
        <w:rPr>
          <w:rFonts w:eastAsia="PT Serif"/>
          <w:lang w:val="en-US"/>
        </w:rPr>
        <w:t>tomasz.poreba@epfl.ch</w:t>
      </w:r>
      <w:r>
        <w:t>)</w:t>
      </w:r>
      <w:r>
        <w:rPr>
          <w:lang w:eastAsia="de-DE"/>
        </w:rPr>
        <w:br/>
      </w:r>
    </w:p>
    <w:p w14:paraId="21E32676" w14:textId="46C49924" w:rsidR="00391B48" w:rsidRPr="00391B48" w:rsidRDefault="00391B48" w:rsidP="00391B48">
      <w:pPr>
        <w:rPr>
          <w:lang w:val="en-AU"/>
        </w:rPr>
      </w:pPr>
      <w:bookmarkStart w:id="0" w:name="_Hlk160014997"/>
      <w:r w:rsidRPr="00391B48">
        <w:rPr>
          <w:lang w:val="en-AU"/>
        </w:rPr>
        <w:t xml:space="preserve">Hydrogen hydrates are promising functional materials for clean energy storage and offer alternative to the current cryo-compressed hydrogen storage technology, </w:t>
      </w:r>
      <w:r w:rsidRPr="00391B48">
        <w:rPr>
          <w:lang w:val="en-US"/>
        </w:rPr>
        <w:t xml:space="preserve">insuring low production and operational costs, environmentally benign nature, and lower risk of </w:t>
      </w:r>
      <w:bookmarkEnd w:id="0"/>
      <w:r w:rsidRPr="00391B48">
        <w:rPr>
          <w:lang w:val="en-US"/>
        </w:rPr>
        <w:t>flammability</w:t>
      </w:r>
      <w:r w:rsidRPr="00391B48">
        <w:rPr>
          <w:lang w:val="en-AU"/>
        </w:rPr>
        <w:t xml:space="preserve">. Hydrogen hydrate clathrate </w:t>
      </w:r>
      <w:proofErr w:type="spellStart"/>
      <w:r w:rsidRPr="00391B48">
        <w:rPr>
          <w:lang w:val="en-AU"/>
        </w:rPr>
        <w:t>sII</w:t>
      </w:r>
      <w:proofErr w:type="spellEnd"/>
      <w:r w:rsidRPr="00391B48">
        <w:rPr>
          <w:lang w:val="en-AU"/>
        </w:rPr>
        <w:t xml:space="preserve"> phase transitions into to the so-called “filled ice” forms above </w:t>
      </w:r>
      <w:r>
        <w:rPr>
          <w:lang w:val="en-AU"/>
        </w:rPr>
        <w:t>0.8</w:t>
      </w:r>
      <w:r w:rsidRPr="00391B48">
        <w:rPr>
          <w:lang w:val="en-AU"/>
        </w:rPr>
        <w:t xml:space="preserve"> </w:t>
      </w:r>
      <w:proofErr w:type="spellStart"/>
      <w:r w:rsidRPr="00391B48">
        <w:rPr>
          <w:lang w:val="en-AU"/>
        </w:rPr>
        <w:t>GPa</w:t>
      </w:r>
      <w:proofErr w:type="spellEnd"/>
      <w:r w:rsidRPr="00391B48">
        <w:rPr>
          <w:lang w:val="en-AU"/>
        </w:rPr>
        <w:t xml:space="preserve">. In filled ice, the water frame assumes one of the known ice phases, and hydrogen occupies definite positions in the ice channels. Up to ~3 </w:t>
      </w:r>
      <w:proofErr w:type="spellStart"/>
      <w:r w:rsidRPr="00391B48">
        <w:rPr>
          <w:lang w:val="en-AU"/>
        </w:rPr>
        <w:t>GPa</w:t>
      </w:r>
      <w:proofErr w:type="spellEnd"/>
      <w:r w:rsidRPr="00391B48">
        <w:rPr>
          <w:lang w:val="en-AU"/>
        </w:rPr>
        <w:t>, five different phases have been reported (C</w:t>
      </w:r>
      <w:r w:rsidRPr="00391B48">
        <w:rPr>
          <w:vertAlign w:val="subscript"/>
          <w:lang w:val="en-AU"/>
        </w:rPr>
        <w:t>-1</w:t>
      </w:r>
      <w:r w:rsidRPr="00391B48">
        <w:rPr>
          <w:lang w:val="en-AU"/>
        </w:rPr>
        <w:t>, C</w:t>
      </w:r>
      <w:r w:rsidRPr="00391B48">
        <w:rPr>
          <w:vertAlign w:val="subscript"/>
          <w:lang w:val="en-AU"/>
        </w:rPr>
        <w:t>0</w:t>
      </w:r>
      <w:r w:rsidRPr="00391B48">
        <w:rPr>
          <w:lang w:val="en-AU"/>
        </w:rPr>
        <w:t>, C</w:t>
      </w:r>
      <w:r w:rsidRPr="00391B48">
        <w:rPr>
          <w:vertAlign w:val="subscript"/>
          <w:lang w:val="en-AU"/>
        </w:rPr>
        <w:t>1</w:t>
      </w:r>
      <w:r w:rsidRPr="00391B48">
        <w:rPr>
          <w:lang w:val="en-AU"/>
        </w:rPr>
        <w:t>, C</w:t>
      </w:r>
      <w:r w:rsidRPr="00391B48">
        <w:rPr>
          <w:vertAlign w:val="subscript"/>
          <w:lang w:val="en-AU"/>
        </w:rPr>
        <w:t>1</w:t>
      </w:r>
      <w:r w:rsidRPr="00391B48">
        <w:rPr>
          <w:vertAlign w:val="superscript"/>
          <w:lang w:val="en-AU"/>
        </w:rPr>
        <w:t>’</w:t>
      </w:r>
      <w:r w:rsidRPr="00391B48">
        <w:rPr>
          <w:lang w:val="en-AU"/>
        </w:rPr>
        <w:t>, and C</w:t>
      </w:r>
      <w:r w:rsidRPr="00391B48">
        <w:rPr>
          <w:vertAlign w:val="subscript"/>
          <w:lang w:val="en-AU"/>
        </w:rPr>
        <w:t xml:space="preserve">2 </w:t>
      </w:r>
      <w:r w:rsidRPr="00391B48">
        <w:rPr>
          <w:lang w:val="en-AU"/>
        </w:rPr>
        <w:t xml:space="preserve">respectively), with increasing hydrogen-to-water ratio </w:t>
      </w:r>
      <w:r w:rsidRPr="00391B48">
        <w:rPr>
          <w:vertAlign w:val="superscript"/>
          <w:lang w:val="en-AU"/>
        </w:rPr>
        <w:t>[1-2]</w:t>
      </w:r>
      <w:r w:rsidRPr="00391B48">
        <w:rPr>
          <w:lang w:val="en-AU"/>
        </w:rPr>
        <w:t>. Recently, a new C</w:t>
      </w:r>
      <w:r w:rsidRPr="00391B48">
        <w:rPr>
          <w:vertAlign w:val="subscript"/>
          <w:lang w:val="en-AU"/>
        </w:rPr>
        <w:t>3</w:t>
      </w:r>
      <w:r w:rsidRPr="00391B48">
        <w:rPr>
          <w:lang w:val="en-AU"/>
        </w:rPr>
        <w:t xml:space="preserve"> phase with a hydrogen-to-water ratio of 2:1</w:t>
      </w:r>
      <w:r w:rsidRPr="00391B48">
        <w:rPr>
          <w:vertAlign w:val="superscript"/>
          <w:lang w:val="en-AU"/>
        </w:rPr>
        <w:t>[2]</w:t>
      </w:r>
      <w:r w:rsidRPr="00391B48">
        <w:rPr>
          <w:lang w:val="en-AU"/>
        </w:rPr>
        <w:t xml:space="preserve"> forming above 40 </w:t>
      </w:r>
      <w:proofErr w:type="spellStart"/>
      <w:r w:rsidRPr="00391B48">
        <w:rPr>
          <w:lang w:val="en-AU"/>
        </w:rPr>
        <w:t>GPa</w:t>
      </w:r>
      <w:proofErr w:type="spellEnd"/>
      <w:r w:rsidRPr="00391B48">
        <w:rPr>
          <w:lang w:val="en-AU"/>
        </w:rPr>
        <w:t xml:space="preserve">, upon laser heating (~1200 K), and being stable up to 90 </w:t>
      </w:r>
      <w:proofErr w:type="spellStart"/>
      <w:r w:rsidRPr="00391B48">
        <w:rPr>
          <w:lang w:val="en-AU"/>
        </w:rPr>
        <w:t>GPa</w:t>
      </w:r>
      <w:proofErr w:type="spellEnd"/>
      <w:r w:rsidRPr="00391B48">
        <w:rPr>
          <w:lang w:val="en-AU"/>
        </w:rPr>
        <w:t xml:space="preserve">, has also been observed. </w:t>
      </w:r>
    </w:p>
    <w:p w14:paraId="250458DE" w14:textId="7931778D" w:rsidR="00391B48" w:rsidRPr="00391B48" w:rsidRDefault="00391B48" w:rsidP="00391B48">
      <w:pPr>
        <w:rPr>
          <w:lang w:val="en-AU"/>
        </w:rPr>
      </w:pPr>
      <w:r>
        <w:rPr>
          <w:noProof/>
        </w:rPr>
        <w:pict w14:anchorId="2D343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A screenshot of a computer generated image&#10;&#10;Description automatically generated" style="position:absolute;left:0;text-align:left;margin-left:138.75pt;margin-top:363.75pt;width:205.85pt;height:190.05pt;z-index: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  <v:imagedata r:id="rId7" o:title="A screenshot of a computer generated image&#10;&#10;Description automatically generated"/>
            <w10:wrap type="topAndBottom" anchorx="margin" anchory="margin"/>
          </v:shape>
        </w:pict>
      </w:r>
      <w:r w:rsidRPr="00391B48">
        <w:rPr>
          <w:lang w:val="en-AU"/>
        </w:rPr>
        <w:t>It has been shown that the C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>-form of hydrogen hydrate (H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>O·H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>/ D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>O·D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 xml:space="preserve">), which is constituted by an ice </w:t>
      </w:r>
      <w:proofErr w:type="spellStart"/>
      <w:r w:rsidRPr="00391B48">
        <w:rPr>
          <w:lang w:val="en-AU"/>
        </w:rPr>
        <w:t>Ic</w:t>
      </w:r>
      <w:proofErr w:type="spellEnd"/>
      <w:r w:rsidRPr="00391B48">
        <w:rPr>
          <w:lang w:val="en-AU"/>
        </w:rPr>
        <w:t xml:space="preserve"> skeleton, transforms into pure cubic ice </w:t>
      </w:r>
      <w:proofErr w:type="spellStart"/>
      <w:r w:rsidRPr="00391B48">
        <w:rPr>
          <w:lang w:val="en-AU"/>
        </w:rPr>
        <w:t>Ic</w:t>
      </w:r>
      <w:proofErr w:type="spellEnd"/>
      <w:r w:rsidRPr="00391B48">
        <w:rPr>
          <w:lang w:val="en-AU"/>
        </w:rPr>
        <w:t xml:space="preserve"> releasing molecular hydrogen upon decompression at 100 K </w:t>
      </w:r>
      <w:r w:rsidRPr="00391B48">
        <w:rPr>
          <w:vertAlign w:val="superscript"/>
          <w:lang w:val="en-AU"/>
        </w:rPr>
        <w:t>[3]</w:t>
      </w:r>
      <w:r w:rsidRPr="00391B48">
        <w:rPr>
          <w:lang w:val="en-AU"/>
        </w:rPr>
        <w:t>. However, the mechanism and kinetics of C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 xml:space="preserve"> hydrogen loss is not well-defined. It was suggested to progress through sample amorphization, though no evidence of an amorphous intermediate state was observed by neutron diffraction. We have recently determined, </w:t>
      </w:r>
      <w:r w:rsidRPr="00391B48">
        <w:rPr>
          <w:i/>
          <w:iCs/>
          <w:lang w:val="en-AU"/>
        </w:rPr>
        <w:t>via</w:t>
      </w:r>
      <w:r w:rsidRPr="00391B48">
        <w:rPr>
          <w:lang w:val="en-AU"/>
        </w:rPr>
        <w:t xml:space="preserve"> high-pressure neutron powder diffraction experiments, that the unit cell volume of the C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 xml:space="preserve"> phase- produced in a Paris-Edinburgh (PE) cell at 3 </w:t>
      </w:r>
      <w:proofErr w:type="spellStart"/>
      <w:r w:rsidRPr="00391B48">
        <w:rPr>
          <w:lang w:val="en-AU"/>
        </w:rPr>
        <w:t>GPa</w:t>
      </w:r>
      <w:proofErr w:type="spellEnd"/>
      <w:r w:rsidRPr="00391B48">
        <w:rPr>
          <w:lang w:val="en-AU"/>
        </w:rPr>
        <w:t>, and then recovered at ambient pressure and 78 K - continuously decreases upon heating above 100 K at ambient pressure. This indicates, at least partial, controlled hydrogen release without loss of crystallinity up to 130 K and the capability of C</w:t>
      </w:r>
      <w:r w:rsidRPr="00391B48">
        <w:rPr>
          <w:vertAlign w:val="subscript"/>
          <w:lang w:val="en-AU"/>
        </w:rPr>
        <w:t xml:space="preserve">2 </w:t>
      </w:r>
      <w:r w:rsidRPr="00391B48">
        <w:rPr>
          <w:lang w:val="en-AU"/>
        </w:rPr>
        <w:t>to store hydrogen up to 100 K at ambient pressure. Additionally, we present insights into structural deformation,</w:t>
      </w:r>
      <w:r>
        <w:rPr>
          <w:lang w:val="en-AU"/>
        </w:rPr>
        <w:t xml:space="preserve"> phase boundaries,</w:t>
      </w:r>
      <w:r w:rsidRPr="00391B48">
        <w:rPr>
          <w:lang w:val="en-AU"/>
        </w:rPr>
        <w:t xml:space="preserve"> hydrogen content and mechanisms of formation of C</w:t>
      </w:r>
      <w:r w:rsidRPr="00391B48">
        <w:rPr>
          <w:vertAlign w:val="subscript"/>
          <w:lang w:val="en-AU"/>
        </w:rPr>
        <w:t>2</w:t>
      </w:r>
      <w:r w:rsidRPr="00391B48">
        <w:rPr>
          <w:lang w:val="en-AU"/>
        </w:rPr>
        <w:t xml:space="preserve"> under extreme p</w:t>
      </w:r>
      <w:r>
        <w:rPr>
          <w:lang w:val="en-AU"/>
        </w:rPr>
        <w:t>ressure and/or low-temperature</w:t>
      </w:r>
      <w:r w:rsidRPr="00391B48">
        <w:rPr>
          <w:lang w:val="en-AU"/>
        </w:rPr>
        <w:t xml:space="preserve"> conditions</w:t>
      </w:r>
      <w:r>
        <w:rPr>
          <w:lang w:val="en-AU"/>
        </w:rPr>
        <w:t>.</w:t>
      </w:r>
      <w:r w:rsidRPr="00391B48">
        <w:rPr>
          <w:lang w:val="en-AU"/>
        </w:rPr>
        <w:t xml:space="preserve"> </w:t>
      </w:r>
      <w:r w:rsidRPr="00391B48">
        <w:rPr>
          <w:vertAlign w:val="superscript"/>
          <w:lang w:val="en-US"/>
        </w:rPr>
        <w:t>[4]</w:t>
      </w:r>
      <w:r w:rsidRPr="00391B48">
        <w:rPr>
          <w:lang w:val="en-AU"/>
        </w:rPr>
        <w:t>.</w:t>
      </w:r>
    </w:p>
    <w:p w14:paraId="0F4BC65B" w14:textId="6D285E29" w:rsidR="00391B48" w:rsidRDefault="00000000" w:rsidP="00391B48">
      <w:pPr>
        <w:jc w:val="center"/>
        <w:rPr>
          <w:bCs/>
          <w:szCs w:val="22"/>
          <w:lang w:val="en-AU"/>
        </w:rPr>
      </w:pPr>
      <w:r>
        <w:pict w14:anchorId="2698E1E3"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>
        <w:rPr>
          <w:b/>
        </w:rPr>
        <w:t>Figure 1</w:t>
      </w:r>
      <w:r w:rsidR="00391B48" w:rsidRPr="00391B48">
        <w:rPr>
          <w:rFonts w:ascii="Arial" w:eastAsia="Arial" w:hAnsi="Arial" w:cs="Arial"/>
          <w:color w:val="000000"/>
          <w:sz w:val="24"/>
          <w:szCs w:val="24"/>
          <w:u w:color="000000"/>
          <w:lang w:val="en-AU" w:eastAsia="it-IT"/>
        </w:rPr>
        <w:t xml:space="preserve"> </w:t>
      </w:r>
      <w:r w:rsidR="00391B48" w:rsidRPr="00391B48">
        <w:rPr>
          <w:bCs/>
          <w:szCs w:val="22"/>
          <w:lang w:val="en-AU"/>
        </w:rPr>
        <w:t>Unit cell volume variation during thermal decomposition of C</w:t>
      </w:r>
      <w:r w:rsidR="00391B48" w:rsidRPr="00391B48">
        <w:rPr>
          <w:bCs/>
          <w:szCs w:val="22"/>
          <w:vertAlign w:val="subscript"/>
          <w:lang w:val="en-AU"/>
        </w:rPr>
        <w:t>2</w:t>
      </w:r>
      <w:r w:rsidR="00391B48" w:rsidRPr="00391B48">
        <w:rPr>
          <w:bCs/>
          <w:szCs w:val="22"/>
          <w:lang w:val="en-AU"/>
        </w:rPr>
        <w:t xml:space="preserve"> hydrogen hydrate tracked with neutron powder diffraction (D20</w:t>
      </w:r>
      <w:r w:rsidR="00391B48">
        <w:rPr>
          <w:lang w:val="en-AU"/>
        </w:rPr>
        <w:t xml:space="preserve"> at ILL</w:t>
      </w:r>
      <w:r w:rsidR="00391B48" w:rsidRPr="00391B48">
        <w:rPr>
          <w:bCs/>
          <w:szCs w:val="22"/>
          <w:lang w:val="en-AU"/>
        </w:rPr>
        <w:t>). Inset: contents of the unit cell of C</w:t>
      </w:r>
      <w:r w:rsidR="00391B48" w:rsidRPr="00391B48">
        <w:rPr>
          <w:bCs/>
          <w:szCs w:val="22"/>
          <w:vertAlign w:val="subscript"/>
          <w:lang w:val="en-AU"/>
        </w:rPr>
        <w:t>2</w:t>
      </w:r>
      <w:r w:rsidR="00391B48" w:rsidRPr="00391B48">
        <w:rPr>
          <w:bCs/>
          <w:szCs w:val="22"/>
          <w:lang w:val="en-AU"/>
        </w:rPr>
        <w:t xml:space="preserve"> (oxygen in red)</w:t>
      </w:r>
    </w:p>
    <w:p w14:paraId="40B1385D" w14:textId="77777777" w:rsidR="00391B48" w:rsidRDefault="00391B48" w:rsidP="00391B48">
      <w:pPr>
        <w:jc w:val="center"/>
        <w:rPr>
          <w:bCs/>
          <w:szCs w:val="22"/>
          <w:lang w:val="en-AU"/>
        </w:rPr>
      </w:pPr>
    </w:p>
    <w:p w14:paraId="663863CD" w14:textId="77777777" w:rsidR="00391B48" w:rsidRPr="00391B48" w:rsidRDefault="00391B48" w:rsidP="00391B48">
      <w:pPr>
        <w:pStyle w:val="Heading4"/>
        <w:rPr>
          <w:rStyle w:val="Strong"/>
          <w:rFonts w:ascii="Times New Roman" w:hAnsi="Times New Roman" w:cs="Times New Roman"/>
          <w:sz w:val="18"/>
          <w:szCs w:val="24"/>
        </w:rPr>
      </w:pPr>
      <w:r w:rsidRPr="00391B48">
        <w:rPr>
          <w:rStyle w:val="Strong"/>
          <w:rFonts w:ascii="Times New Roman" w:hAnsi="Times New Roman" w:cs="Times New Roman"/>
          <w:sz w:val="18"/>
          <w:szCs w:val="24"/>
        </w:rPr>
        <w:t>[1] Ranieri, U. et al. PNAS, 120, 52 (2023).</w:t>
      </w:r>
    </w:p>
    <w:p w14:paraId="1C598B43" w14:textId="77777777" w:rsidR="00391B48" w:rsidRPr="00391B48" w:rsidRDefault="00391B48" w:rsidP="00391B48">
      <w:pPr>
        <w:pStyle w:val="Heading4"/>
        <w:rPr>
          <w:rStyle w:val="Strong"/>
          <w:rFonts w:ascii="Times New Roman" w:hAnsi="Times New Roman" w:cs="Times New Roman"/>
          <w:sz w:val="18"/>
          <w:szCs w:val="24"/>
        </w:rPr>
      </w:pPr>
      <w:r w:rsidRPr="00391B48">
        <w:rPr>
          <w:rStyle w:val="Strong"/>
          <w:rFonts w:ascii="Times New Roman" w:hAnsi="Times New Roman" w:cs="Times New Roman"/>
          <w:sz w:val="18"/>
          <w:szCs w:val="24"/>
        </w:rPr>
        <w:t xml:space="preserve">[2] Hirai, H. et al. Prog Earth Planet Sci 10, 3 (2023) </w:t>
      </w:r>
    </w:p>
    <w:p w14:paraId="3240505F" w14:textId="77777777" w:rsidR="00391B48" w:rsidRPr="00391B48" w:rsidRDefault="00391B48" w:rsidP="00391B48">
      <w:pPr>
        <w:pStyle w:val="Heading4"/>
        <w:rPr>
          <w:rStyle w:val="Strong"/>
          <w:rFonts w:ascii="Times New Roman" w:hAnsi="Times New Roman" w:cs="Times New Roman"/>
          <w:sz w:val="18"/>
          <w:szCs w:val="24"/>
        </w:rPr>
      </w:pPr>
      <w:r w:rsidRPr="00391B48">
        <w:rPr>
          <w:rStyle w:val="Strong"/>
          <w:rFonts w:ascii="Times New Roman" w:hAnsi="Times New Roman" w:cs="Times New Roman"/>
          <w:sz w:val="18"/>
          <w:szCs w:val="24"/>
        </w:rPr>
        <w:t xml:space="preserve">[3] Komatsu, K., Machida, S., Noritake, F. et al. Nat </w:t>
      </w:r>
      <w:proofErr w:type="spellStart"/>
      <w:r w:rsidRPr="00391B48">
        <w:rPr>
          <w:rStyle w:val="Strong"/>
          <w:rFonts w:ascii="Times New Roman" w:hAnsi="Times New Roman" w:cs="Times New Roman"/>
          <w:sz w:val="18"/>
          <w:szCs w:val="24"/>
        </w:rPr>
        <w:t>Commun</w:t>
      </w:r>
      <w:proofErr w:type="spellEnd"/>
      <w:r w:rsidRPr="00391B48">
        <w:rPr>
          <w:rStyle w:val="Strong"/>
          <w:rFonts w:ascii="Times New Roman" w:hAnsi="Times New Roman" w:cs="Times New Roman"/>
          <w:sz w:val="18"/>
          <w:szCs w:val="24"/>
        </w:rPr>
        <w:t xml:space="preserve"> 11, 464 (2020) </w:t>
      </w:r>
    </w:p>
    <w:p w14:paraId="68582DD7" w14:textId="77777777" w:rsidR="00391B48" w:rsidRPr="00391B48" w:rsidRDefault="00391B48" w:rsidP="00391B48">
      <w:pPr>
        <w:pStyle w:val="Heading4"/>
        <w:rPr>
          <w:rStyle w:val="Strong"/>
          <w:rFonts w:ascii="Times New Roman" w:hAnsi="Times New Roman" w:cs="Times New Roman"/>
          <w:sz w:val="18"/>
          <w:szCs w:val="24"/>
        </w:rPr>
      </w:pPr>
      <w:r w:rsidRPr="00391B48">
        <w:rPr>
          <w:rStyle w:val="Strong"/>
          <w:rFonts w:ascii="Times New Roman" w:hAnsi="Times New Roman" w:cs="Times New Roman"/>
          <w:sz w:val="18"/>
          <w:szCs w:val="24"/>
        </w:rPr>
        <w:t>[4] Poreba, T., Andriambariarijaona L., et al. in preparation (2024</w:t>
      </w:r>
      <w:proofErr w:type="gramStart"/>
      <w:r w:rsidRPr="00391B48">
        <w:rPr>
          <w:rStyle w:val="Strong"/>
          <w:rFonts w:ascii="Times New Roman" w:hAnsi="Times New Roman" w:cs="Times New Roman"/>
          <w:sz w:val="18"/>
          <w:szCs w:val="24"/>
        </w:rPr>
        <w:t>) .</w:t>
      </w:r>
      <w:proofErr w:type="gramEnd"/>
    </w:p>
    <w:sectPr w:rsidR="00391B48" w:rsidRPr="00391B4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AF07" w14:textId="77777777" w:rsidR="004719ED" w:rsidRDefault="004719ED">
      <w:pPr>
        <w:spacing w:after="0"/>
      </w:pPr>
      <w:r>
        <w:separator/>
      </w:r>
    </w:p>
  </w:endnote>
  <w:endnote w:type="continuationSeparator" w:id="0">
    <w:p w14:paraId="4B2E0D94" w14:textId="77777777" w:rsidR="004719ED" w:rsidRDefault="004719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F08D" w14:textId="77777777" w:rsidR="003F4089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E430154" w14:textId="77777777" w:rsidR="003F4089" w:rsidRDefault="003F408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5A9D" w14:textId="77777777" w:rsidR="004719ED" w:rsidRDefault="004719ED">
      <w:pPr>
        <w:spacing w:after="0"/>
      </w:pPr>
      <w:r>
        <w:separator/>
      </w:r>
    </w:p>
  </w:footnote>
  <w:footnote w:type="continuationSeparator" w:id="0">
    <w:p w14:paraId="0132B409" w14:textId="77777777" w:rsidR="004719ED" w:rsidRDefault="004719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933B" w14:textId="77777777" w:rsidR="003F408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089"/>
    <w:rsid w:val="00391B48"/>
    <w:rsid w:val="003F4089"/>
    <w:rsid w:val="004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894E3B"/>
  <w15:docId w15:val="{171D2640-E375-483D-9841-2E364059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91B48"/>
    <w:rPr>
      <w:rFonts w:ascii="Arial Unicode MS" w:eastAsia="Arial Unicode MS" w:hAnsi="Arial Unicode MS" w:cs="Arial Unicode MS"/>
      <w:sz w:val="22"/>
      <w:szCs w:val="22"/>
    </w:rPr>
  </w:style>
  <w:style w:type="paragraph" w:customStyle="1" w:styleId="Corps">
    <w:name w:val="Corps"/>
    <w:rsid w:val="00391B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both"/>
    </w:pPr>
    <w:rPr>
      <w:rFonts w:ascii="Arial" w:eastAsia="Arial" w:hAnsi="Arial" w:cs="Arial"/>
      <w:color w:val="000000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Company>MFF UK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Tomasz Poreba</cp:lastModifiedBy>
  <cp:revision>2</cp:revision>
  <dcterms:created xsi:type="dcterms:W3CDTF">2025-04-29T16:54:00Z</dcterms:created>
  <dcterms:modified xsi:type="dcterms:W3CDTF">2025-04-29T16:54:00Z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