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5C3D" w:rsidRDefault="112942F6" w14:paraId="02BF27A3" w14:textId="2853C2AB">
      <w:pPr>
        <w:pStyle w:val="Heading1"/>
      </w:pPr>
      <w:r>
        <w:t xml:space="preserve">Exploring the crystal </w:t>
      </w:r>
      <w:r w:rsidR="69284823">
        <w:t>energy</w:t>
      </w:r>
      <w:r>
        <w:t xml:space="preserve"> landscape</w:t>
      </w:r>
      <w:r w:rsidR="61C6B9AE">
        <w:t>s</w:t>
      </w:r>
      <w:r>
        <w:t xml:space="preserve"> of polycyclic aromatic hydrocarbons</w:t>
      </w:r>
      <w:r w:rsidR="2B1CA184">
        <w:t xml:space="preserve"> via crystal structure prediction and Monte Carlo threshold algorithm</w:t>
      </w:r>
      <w:r w:rsidR="009A4516">
        <w:t xml:space="preserve"> </w:t>
      </w:r>
    </w:p>
    <w:p w:rsidR="005F5C3D" w:rsidRDefault="009138CA" w14:paraId="02BF27A4" w14:textId="3CC3CCF5">
      <w:pPr>
        <w:pStyle w:val="Heading2"/>
      </w:pPr>
      <w:r>
        <w:t>P. Juan-Royo</w:t>
      </w:r>
      <w:r w:rsidR="009A4516">
        <w:rPr>
          <w:vertAlign w:val="superscript"/>
        </w:rPr>
        <w:t>1</w:t>
      </w:r>
      <w:r w:rsidR="009A4516">
        <w:t xml:space="preserve">, </w:t>
      </w:r>
      <w:r w:rsidR="00D35EAC">
        <w:t>G. M. Day</w:t>
      </w:r>
      <w:r w:rsidR="009A4516">
        <w:rPr>
          <w:vertAlign w:val="superscript"/>
        </w:rPr>
        <w:t>1</w:t>
      </w:r>
    </w:p>
    <w:p w:rsidR="005F5C3D" w:rsidRDefault="009A4516" w14:paraId="02BF27A5" w14:textId="20EB19B7">
      <w:pPr>
        <w:pStyle w:val="Heading3"/>
      </w:pPr>
      <w:r>
        <w:rPr>
          <w:vertAlign w:val="superscript"/>
        </w:rPr>
        <w:t>1</w:t>
      </w:r>
      <w:r w:rsidR="00D35EAC">
        <w:t>University of Southampton</w:t>
      </w:r>
      <w:r w:rsidR="0030073A">
        <w:t xml:space="preserve">, </w:t>
      </w:r>
      <w:r w:rsidRPr="0081038B" w:rsidR="0081038B">
        <w:t>University Road</w:t>
      </w:r>
      <w:r w:rsidR="00A55BF0">
        <w:t>, Southampton, SO17 1BJ, United Kingdom</w:t>
      </w:r>
    </w:p>
    <w:p w:rsidR="005F5C3D" w:rsidRDefault="00095E56" w14:paraId="02BF27A6" w14:textId="697FF302">
      <w:pPr>
        <w:pStyle w:val="Heading3"/>
      </w:pPr>
      <w:r w:rsidRPr="5BCF51F3" w:rsidR="00095E56">
        <w:rPr>
          <w:lang w:eastAsia="de-DE"/>
        </w:rPr>
        <w:t>p.juan-royo@soton.ac.uk</w:t>
      </w:r>
    </w:p>
    <w:p w:rsidR="6374D8D0" w:rsidP="45B6B239" w:rsidRDefault="6374D8D0" w14:paraId="5CE2614B" w14:textId="18DD51F4">
      <w:pPr>
        <w:spacing w:after="240"/>
      </w:pPr>
      <w:r w:rsidRPr="45B6B239">
        <w:t xml:space="preserve">Polycyclic aromatic hydrocarbons (PAHs), </w:t>
      </w:r>
      <w:r w:rsidRPr="45B6B239" w:rsidR="4C32EEB7">
        <w:t>although they are environmental pollutants with carcinogenic effects</w:t>
      </w:r>
      <w:r w:rsidR="00AC383F">
        <w:t xml:space="preserve"> [1]</w:t>
      </w:r>
      <w:r w:rsidRPr="45B6B239">
        <w:t xml:space="preserve">, exhibit electronic properties that make them attractive for </w:t>
      </w:r>
      <w:r w:rsidRPr="45B6B239" w:rsidR="51C72FF5">
        <w:t xml:space="preserve">use in </w:t>
      </w:r>
      <w:r w:rsidRPr="45B6B239">
        <w:t>organic electronics</w:t>
      </w:r>
      <w:r w:rsidRPr="45B6B239" w:rsidR="5C281329">
        <w:t xml:space="preserve"> applications</w:t>
      </w:r>
      <w:r w:rsidR="002416AE">
        <w:t xml:space="preserve"> [2]</w:t>
      </w:r>
      <w:r w:rsidRPr="45B6B239">
        <w:t>. The performance of these materials is in</w:t>
      </w:r>
      <w:r w:rsidRPr="45B6B239" w:rsidR="75A2D5F3">
        <w:t>fluenced by their molecular geometries and crystal</w:t>
      </w:r>
      <w:r w:rsidRPr="45B6B239">
        <w:t xml:space="preserve"> packing arrangements</w:t>
      </w:r>
      <w:r w:rsidR="00070DAF">
        <w:t xml:space="preserve"> [3</w:t>
      </w:r>
      <w:r w:rsidR="00A03087">
        <w:t xml:space="preserve">, </w:t>
      </w:r>
      <w:r w:rsidR="00070DAF">
        <w:t>4]</w:t>
      </w:r>
      <w:r w:rsidRPr="45B6B239" w:rsidR="349CBCF7">
        <w:t xml:space="preserve">. </w:t>
      </w:r>
      <w:r w:rsidRPr="45B6B239">
        <w:t xml:space="preserve">Computational screening, particularly </w:t>
      </w:r>
      <w:r w:rsidRPr="45B6B239" w:rsidR="47A4B1F6">
        <w:t>c</w:t>
      </w:r>
      <w:r w:rsidRPr="45B6B239">
        <w:t xml:space="preserve">rystal </w:t>
      </w:r>
      <w:r w:rsidRPr="45B6B239" w:rsidR="7C148659">
        <w:t>s</w:t>
      </w:r>
      <w:r w:rsidRPr="45B6B239">
        <w:t xml:space="preserve">tructure </w:t>
      </w:r>
      <w:r w:rsidRPr="45B6B239" w:rsidR="5592793B">
        <w:t>p</w:t>
      </w:r>
      <w:r w:rsidRPr="45B6B239">
        <w:t>rediction (CSP), offers a valuable approach to explore the vast crystal packing space and identify thermodynamically stable structures</w:t>
      </w:r>
      <w:r w:rsidR="000B54B3">
        <w:t xml:space="preserve"> [5]</w:t>
      </w:r>
      <w:r w:rsidRPr="45B6B239">
        <w:t>. However, CSP alone does not fully characterize the crystal energy landscape. Information regarding the energy barriers between different crystal structures and the depth of the potential energy surface (PES) minima is crucial for understanding polymorph stability and accessibility.</w:t>
      </w:r>
      <w:r w:rsidRPr="45B6B239" w:rsidR="7657E183">
        <w:t xml:space="preserve"> </w:t>
      </w:r>
    </w:p>
    <w:p w:rsidR="77FB3842" w:rsidP="45B6B239" w:rsidRDefault="77FB3842" w14:paraId="70DE2E9C" w14:textId="7F4071D5">
      <w:pPr>
        <w:spacing w:after="240"/>
      </w:pPr>
      <w:r w:rsidRPr="45B6B239">
        <w:t xml:space="preserve">Our group recently extended the </w:t>
      </w:r>
      <w:r w:rsidRPr="45B6B239" w:rsidR="7657E183">
        <w:t>Monte Carlo threshold (MCT) algorithm</w:t>
      </w:r>
      <w:r w:rsidRPr="45B6B239" w:rsidR="6D3618D4">
        <w:t xml:space="preserve"> to be used with molecular crystals</w:t>
      </w:r>
      <w:r w:rsidR="00E36546">
        <w:t xml:space="preserve"> [6</w:t>
      </w:r>
      <w:r w:rsidR="00A03087">
        <w:t xml:space="preserve">, </w:t>
      </w:r>
      <w:r w:rsidR="00E36546">
        <w:t>7]</w:t>
      </w:r>
      <w:r w:rsidRPr="45B6B239" w:rsidR="6D3618D4">
        <w:t>. This method</w:t>
      </w:r>
      <w:r w:rsidRPr="45B6B239" w:rsidR="7657E183">
        <w:t xml:space="preserve"> can be used to calculate the energy barriers between crystal structures</w:t>
      </w:r>
      <w:r w:rsidRPr="45B6B239" w:rsidR="608E7A76">
        <w:t xml:space="preserve">, which can then be visualised using </w:t>
      </w:r>
      <w:proofErr w:type="spellStart"/>
      <w:r w:rsidRPr="45B6B239" w:rsidR="608E7A76">
        <w:t>disconnectivity</w:t>
      </w:r>
      <w:proofErr w:type="spellEnd"/>
      <w:r w:rsidRPr="45B6B239" w:rsidR="608E7A76">
        <w:t xml:space="preserve"> graphs</w:t>
      </w:r>
      <w:r w:rsidR="00D0191E">
        <w:t xml:space="preserve"> [8]</w:t>
      </w:r>
      <w:r w:rsidRPr="45B6B239" w:rsidR="608E7A76">
        <w:t>.</w:t>
      </w:r>
    </w:p>
    <w:p w:rsidR="6374D8D0" w:rsidP="45B6B239" w:rsidRDefault="6374D8D0" w14:paraId="7F816917" w14:textId="51BEBAE9">
      <w:pPr>
        <w:spacing w:before="240" w:after="240"/>
      </w:pPr>
      <w:r w:rsidR="6374D8D0">
        <w:rPr/>
        <w:t>In this study, we combine CSP with the MCT algorithm to conduct a comprehensive analysis of the crystal PES for three PAHs: phenanthrene, pyrene, and perylene. We employ three distinct potential energy models – FIT</w:t>
      </w:r>
      <w:r w:rsidR="002D2FCC">
        <w:rPr/>
        <w:t xml:space="preserve"> [9]</w:t>
      </w:r>
      <w:r w:rsidR="6374D8D0">
        <w:rPr/>
        <w:t>, PAHAP</w:t>
      </w:r>
      <w:r w:rsidR="002D2FCC">
        <w:rPr/>
        <w:t xml:space="preserve"> [</w:t>
      </w:r>
      <w:r w:rsidR="002D2FCC">
        <w:rPr/>
        <w:t>10]</w:t>
      </w:r>
      <w:r w:rsidR="6374D8D0">
        <w:rPr/>
        <w:t>, and</w:t>
      </w:r>
      <w:r w:rsidR="6374D8D0">
        <w:rPr/>
        <w:t xml:space="preserve"> </w:t>
      </w:r>
      <w:r w:rsidR="6374D8D0">
        <w:rPr/>
        <w:t>isoPAHAP</w:t>
      </w:r>
      <w:r w:rsidR="002D2FCC">
        <w:rPr/>
        <w:t xml:space="preserve"> [11]</w:t>
      </w:r>
      <w:r w:rsidR="6374D8D0">
        <w:rPr/>
        <w:t xml:space="preserve"> – to assess the influence of </w:t>
      </w:r>
      <w:r w:rsidR="3105FF7F">
        <w:rPr/>
        <w:t xml:space="preserve">the </w:t>
      </w:r>
      <w:r w:rsidR="6374D8D0">
        <w:rPr/>
        <w:t>intermolecular potential on the predicted landscapes. To achieve high energy barrier resolution and comprehensive coverage o</w:t>
      </w:r>
      <w:r w:rsidR="6374D8D0">
        <w:rPr/>
        <w:t>f the P</w:t>
      </w:r>
      <w:r w:rsidR="6374D8D0">
        <w:rPr/>
        <w:t xml:space="preserve">ES, we </w:t>
      </w:r>
      <w:r w:rsidR="6374D8D0">
        <w:rPr/>
        <w:t>utilize</w:t>
      </w:r>
      <w:r w:rsidR="6374D8D0">
        <w:rPr/>
        <w:t xml:space="preserve"> a multistage sampling scheme, initiating MC</w:t>
      </w:r>
      <w:r w:rsidR="1BBB62CE">
        <w:rPr/>
        <w:t>T</w:t>
      </w:r>
      <w:r w:rsidR="6374D8D0">
        <w:rPr/>
        <w:t xml:space="preserve"> trajectories from a large set of </w:t>
      </w:r>
      <w:r w:rsidR="3878E8D6">
        <w:rPr/>
        <w:t xml:space="preserve">the low energy </w:t>
      </w:r>
      <w:r w:rsidR="6374D8D0">
        <w:rPr/>
        <w:t xml:space="preserve">CSP-generated structures. </w:t>
      </w:r>
      <w:r w:rsidR="71A2ACA1">
        <w:rPr/>
        <w:t>We discuss how CSP and the MCT algorithm combine to give a global view of the crystal energy landscapes of the selected PAH molecules.</w:t>
      </w:r>
    </w:p>
    <w:p w:rsidR="005F5C3D" w:rsidP="5BCF51F3" w:rsidRDefault="009A4516" w14:paraId="7B7E7DCE" w14:textId="506F0369" w14:noSpellErr="1">
      <w:pPr>
        <w:pStyle w:val="Heading4"/>
        <w:ind w:left="0" w:hanging="0"/>
      </w:pPr>
      <w:r w:rsidR="009A4516">
        <w:rPr/>
        <w:t xml:space="preserve">[1] </w:t>
      </w:r>
      <w:r w:rsidR="00AC383F">
        <w:rPr/>
        <w:t xml:space="preserve">Lawal, Abdulazeez T. "Polycyclic aromatic hydrocarbons. A review." </w:t>
      </w:r>
      <w:r w:rsidRPr="5BCF51F3" w:rsidR="00AC383F">
        <w:rPr>
          <w:i w:val="1"/>
          <w:iCs w:val="1"/>
        </w:rPr>
        <w:t>Cogent Environmental Science</w:t>
      </w:r>
      <w:r w:rsidR="00AC383F">
        <w:rPr/>
        <w:t xml:space="preserve"> 3.1 (2017): 1339841.</w:t>
      </w:r>
    </w:p>
    <w:p w:rsidRPr="00434815" w:rsidR="002416AE" w:rsidP="002E61B0" w:rsidRDefault="002416AE" w14:paraId="660DDA2A" w14:textId="195B0BCA">
      <w:pPr>
        <w:pStyle w:val="Heading4"/>
        <w:rPr>
          <w:szCs w:val="18"/>
        </w:rPr>
      </w:pPr>
      <w:r w:rsidRPr="00434815">
        <w:rPr>
          <w:szCs w:val="18"/>
        </w:rPr>
        <w:t xml:space="preserve">[2] Wang, </w:t>
      </w:r>
      <w:proofErr w:type="spellStart"/>
      <w:r w:rsidRPr="00434815">
        <w:rPr>
          <w:szCs w:val="18"/>
        </w:rPr>
        <w:t>Chengliang</w:t>
      </w:r>
      <w:proofErr w:type="spellEnd"/>
      <w:r w:rsidRPr="00434815">
        <w:rPr>
          <w:szCs w:val="18"/>
        </w:rPr>
        <w:t xml:space="preserve">, et al. "Semiconducting π-conjugated systems in field-effect transistors: a material odyssey of organic electronics." </w:t>
      </w:r>
      <w:r w:rsidRPr="00434815">
        <w:rPr>
          <w:i/>
          <w:iCs/>
          <w:szCs w:val="18"/>
        </w:rPr>
        <w:t>Chemical reviews</w:t>
      </w:r>
      <w:r w:rsidRPr="00434815">
        <w:rPr>
          <w:szCs w:val="18"/>
        </w:rPr>
        <w:t xml:space="preserve"> 112.4 (2012): 2208-2267.</w:t>
      </w:r>
    </w:p>
    <w:p w:rsidRPr="00434815" w:rsidR="00070DAF" w:rsidP="002E61B0" w:rsidRDefault="00070DAF" w14:paraId="541E5712" w14:textId="0FD613E1">
      <w:pPr>
        <w:pStyle w:val="Heading4"/>
        <w:rPr>
          <w:szCs w:val="18"/>
        </w:rPr>
      </w:pPr>
      <w:r w:rsidRPr="00434815">
        <w:rPr>
          <w:szCs w:val="18"/>
        </w:rPr>
        <w:t xml:space="preserve">[3] Wang, </w:t>
      </w:r>
      <w:proofErr w:type="spellStart"/>
      <w:r w:rsidRPr="00434815">
        <w:rPr>
          <w:szCs w:val="18"/>
        </w:rPr>
        <w:t>Chengliang</w:t>
      </w:r>
      <w:proofErr w:type="spellEnd"/>
      <w:r w:rsidRPr="00434815">
        <w:rPr>
          <w:szCs w:val="18"/>
        </w:rPr>
        <w:t xml:space="preserve">, et al. "Dibenzothiophene derivatives: from herringbone to lamellar packing motif." </w:t>
      </w:r>
      <w:r w:rsidRPr="00434815">
        <w:rPr>
          <w:i/>
          <w:iCs/>
          <w:szCs w:val="18"/>
        </w:rPr>
        <w:t>Crystal growth &amp; design</w:t>
      </w:r>
      <w:r w:rsidRPr="00434815">
        <w:rPr>
          <w:szCs w:val="18"/>
        </w:rPr>
        <w:t xml:space="preserve"> 10.9 (2010): 4155-4160.</w:t>
      </w:r>
    </w:p>
    <w:p w:rsidRPr="00434815" w:rsidR="00070DAF" w:rsidP="002E61B0" w:rsidRDefault="00070DAF" w14:paraId="37D834DE" w14:textId="6AB886C6">
      <w:pPr>
        <w:pStyle w:val="Heading4"/>
        <w:rPr>
          <w:szCs w:val="18"/>
        </w:rPr>
      </w:pPr>
      <w:r w:rsidRPr="00434815">
        <w:rPr>
          <w:szCs w:val="18"/>
        </w:rPr>
        <w:t xml:space="preserve">[4] </w:t>
      </w:r>
      <w:r w:rsidRPr="00434815" w:rsidR="007A5424">
        <w:rPr>
          <w:szCs w:val="18"/>
        </w:rPr>
        <w:t xml:space="preserve">Dong, Huanli, et al. "25th anniversary article: key points for high‐mobility organic field‐effect transistors." </w:t>
      </w:r>
      <w:r w:rsidRPr="00434815" w:rsidR="007A5424">
        <w:rPr>
          <w:i/>
          <w:iCs/>
          <w:szCs w:val="18"/>
        </w:rPr>
        <w:t>Advanced materials</w:t>
      </w:r>
      <w:r w:rsidRPr="00434815" w:rsidR="007A5424">
        <w:rPr>
          <w:szCs w:val="18"/>
        </w:rPr>
        <w:t xml:space="preserve"> 25.43 (2013): 6158-6183.</w:t>
      </w:r>
    </w:p>
    <w:p w:rsidRPr="00434815" w:rsidR="000B54B3" w:rsidP="002E61B0" w:rsidRDefault="000B54B3" w14:paraId="58859738" w14:textId="28F27643">
      <w:pPr>
        <w:pStyle w:val="Heading4"/>
        <w:rPr>
          <w:szCs w:val="18"/>
        </w:rPr>
      </w:pPr>
      <w:r w:rsidRPr="00434815">
        <w:rPr>
          <w:szCs w:val="18"/>
        </w:rPr>
        <w:t xml:space="preserve">[5] Beran, Gregory JO. "Frontiers of molecular crystal structure prediction for pharmaceuticals and functional organic materials." </w:t>
      </w:r>
      <w:r w:rsidRPr="00434815">
        <w:rPr>
          <w:i/>
          <w:iCs/>
          <w:szCs w:val="18"/>
        </w:rPr>
        <w:t>Chemical Science</w:t>
      </w:r>
      <w:r w:rsidRPr="00434815">
        <w:rPr>
          <w:szCs w:val="18"/>
        </w:rPr>
        <w:t xml:space="preserve"> 14.46 (2023): 13290-13312.</w:t>
      </w:r>
    </w:p>
    <w:p w:rsidRPr="00434815" w:rsidR="00060268" w:rsidP="002E61B0" w:rsidRDefault="00060268" w14:paraId="0A153EA1" w14:textId="61CAE2C8">
      <w:pPr>
        <w:pStyle w:val="Heading4"/>
        <w:rPr>
          <w:szCs w:val="18"/>
        </w:rPr>
      </w:pPr>
      <w:r w:rsidRPr="00434815">
        <w:rPr>
          <w:szCs w:val="18"/>
        </w:rPr>
        <w:t xml:space="preserve">[6] Yang, </w:t>
      </w:r>
      <w:proofErr w:type="spellStart"/>
      <w:r w:rsidRPr="00434815">
        <w:rPr>
          <w:szCs w:val="18"/>
        </w:rPr>
        <w:t>Shiyue</w:t>
      </w:r>
      <w:proofErr w:type="spellEnd"/>
      <w:r w:rsidRPr="00434815">
        <w:rPr>
          <w:szCs w:val="18"/>
        </w:rPr>
        <w:t xml:space="preserve">, and Graeme M. Day. "Global analysis of the energy landscapes of molecular crystal structures by applying the threshold algorithm." </w:t>
      </w:r>
      <w:r w:rsidRPr="00434815">
        <w:rPr>
          <w:i/>
          <w:iCs/>
          <w:szCs w:val="18"/>
        </w:rPr>
        <w:t>Communications Chemistry</w:t>
      </w:r>
      <w:r w:rsidRPr="00434815">
        <w:rPr>
          <w:szCs w:val="18"/>
        </w:rPr>
        <w:t xml:space="preserve"> 5.1 (2022): 86.</w:t>
      </w:r>
    </w:p>
    <w:p w:rsidRPr="00434815" w:rsidR="00E36546" w:rsidP="002E61B0" w:rsidRDefault="00E36546" w14:paraId="41F4CFD0" w14:textId="084104CC">
      <w:pPr>
        <w:pStyle w:val="Heading4"/>
        <w:rPr>
          <w:szCs w:val="18"/>
        </w:rPr>
      </w:pPr>
      <w:r w:rsidRPr="00434815">
        <w:rPr>
          <w:szCs w:val="18"/>
        </w:rPr>
        <w:t>[</w:t>
      </w:r>
      <w:r w:rsidRPr="00434815" w:rsidR="00060268">
        <w:rPr>
          <w:szCs w:val="18"/>
        </w:rPr>
        <w:t>7</w:t>
      </w:r>
      <w:r w:rsidRPr="00434815">
        <w:rPr>
          <w:szCs w:val="18"/>
        </w:rPr>
        <w:t xml:space="preserve">] Butler, Patrick WV, and Graeme M. Day. "Reducing overprediction of molecular crystal structures via threshold clustering." </w:t>
      </w:r>
      <w:r w:rsidRPr="00434815">
        <w:rPr>
          <w:i/>
          <w:iCs/>
          <w:szCs w:val="18"/>
        </w:rPr>
        <w:t>Proceedings of the National Academy of Sciences</w:t>
      </w:r>
      <w:r w:rsidRPr="00434815">
        <w:rPr>
          <w:szCs w:val="18"/>
        </w:rPr>
        <w:t xml:space="preserve"> 120.23 (2023): e2300516120.</w:t>
      </w:r>
    </w:p>
    <w:p w:rsidR="005F5C3D" w:rsidP="002E61B0" w:rsidRDefault="006221B3" w14:paraId="02BF27B8" w14:textId="797D2259">
      <w:pPr>
        <w:pStyle w:val="Heading4"/>
        <w:rPr>
          <w:szCs w:val="18"/>
        </w:rPr>
      </w:pPr>
      <w:r w:rsidRPr="00434815">
        <w:rPr>
          <w:szCs w:val="18"/>
        </w:rPr>
        <w:t xml:space="preserve">[8] Becker, Oren M., and Martin Karplus. "The topology of multidimensional potential energy surfaces: Theory and application to peptide structure and kinetics." </w:t>
      </w:r>
      <w:r w:rsidRPr="00434815">
        <w:rPr>
          <w:i/>
          <w:iCs/>
          <w:szCs w:val="18"/>
        </w:rPr>
        <w:t>The Journal of chemical physics</w:t>
      </w:r>
      <w:r w:rsidRPr="00434815">
        <w:rPr>
          <w:szCs w:val="18"/>
        </w:rPr>
        <w:t xml:space="preserve"> 106.4 (1997): 1495-1517.</w:t>
      </w:r>
    </w:p>
    <w:p w:rsidR="002A1A99" w:rsidP="002E61B0" w:rsidRDefault="002A1A99" w14:paraId="691FAB92" w14:textId="41538AD0">
      <w:pPr>
        <w:pStyle w:val="Heading4"/>
        <w:rPr>
          <w:szCs w:val="18"/>
        </w:rPr>
      </w:pPr>
      <w:r>
        <w:rPr>
          <w:szCs w:val="18"/>
        </w:rPr>
        <w:t xml:space="preserve">[9] </w:t>
      </w:r>
      <w:r w:rsidRPr="002A1A99">
        <w:rPr>
          <w:szCs w:val="18"/>
        </w:rPr>
        <w:t xml:space="preserve">Coombes, David S., et al. "Role of electrostatic interactions in determining the crystal structures of polar organic molecules. A distributed multipole study." </w:t>
      </w:r>
      <w:r w:rsidRPr="002A1A99">
        <w:rPr>
          <w:i/>
          <w:iCs/>
          <w:szCs w:val="18"/>
        </w:rPr>
        <w:t>The Journal of Physical Chemistry</w:t>
      </w:r>
      <w:r w:rsidRPr="002A1A99">
        <w:rPr>
          <w:szCs w:val="18"/>
        </w:rPr>
        <w:t xml:space="preserve"> 100.18 (1996): 7352-7360.</w:t>
      </w:r>
    </w:p>
    <w:p w:rsidR="002A1A99" w:rsidP="002E61B0" w:rsidRDefault="002A1A99" w14:paraId="6B84577A" w14:textId="07C16D60">
      <w:pPr>
        <w:pStyle w:val="Heading4"/>
        <w:rPr>
          <w:szCs w:val="18"/>
        </w:rPr>
      </w:pPr>
      <w:r>
        <w:rPr>
          <w:szCs w:val="18"/>
        </w:rPr>
        <w:t xml:space="preserve">[10] </w:t>
      </w:r>
      <w:r w:rsidRPr="002D2FCC" w:rsidR="002D2FCC">
        <w:rPr>
          <w:szCs w:val="18"/>
        </w:rPr>
        <w:t xml:space="preserve">Totton, Tim S., Alston J. </w:t>
      </w:r>
      <w:proofErr w:type="spellStart"/>
      <w:r w:rsidRPr="002D2FCC" w:rsidR="002D2FCC">
        <w:rPr>
          <w:szCs w:val="18"/>
        </w:rPr>
        <w:t>Misquitta</w:t>
      </w:r>
      <w:proofErr w:type="spellEnd"/>
      <w:r w:rsidRPr="002D2FCC" w:rsidR="002D2FCC">
        <w:rPr>
          <w:szCs w:val="18"/>
        </w:rPr>
        <w:t xml:space="preserve">, and Markus Kraft. "A first principles development of a general anisotropic potential for polycyclic aromatic hydrocarbons." </w:t>
      </w:r>
      <w:r w:rsidRPr="002D2FCC" w:rsidR="002D2FCC">
        <w:rPr>
          <w:i/>
          <w:iCs/>
          <w:szCs w:val="18"/>
        </w:rPr>
        <w:t>Journal of Chemical Theory and Computation</w:t>
      </w:r>
      <w:r w:rsidRPr="002D2FCC" w:rsidR="002D2FCC">
        <w:rPr>
          <w:szCs w:val="18"/>
        </w:rPr>
        <w:t xml:space="preserve"> 6.3 (2010): 683-695.</w:t>
      </w:r>
    </w:p>
    <w:p w:rsidRPr="00434815" w:rsidR="002D2FCC" w:rsidP="002E61B0" w:rsidRDefault="002D2FCC" w14:paraId="58BC0A67" w14:textId="5B5930F0">
      <w:pPr>
        <w:pStyle w:val="Heading4"/>
        <w:rPr>
          <w:szCs w:val="18"/>
        </w:rPr>
      </w:pPr>
      <w:r>
        <w:rPr>
          <w:szCs w:val="18"/>
        </w:rPr>
        <w:t xml:space="preserve">[11] </w:t>
      </w:r>
      <w:r w:rsidRPr="002D2FCC">
        <w:rPr>
          <w:szCs w:val="18"/>
        </w:rPr>
        <w:t xml:space="preserve">Totton, Tim S., Alston J. </w:t>
      </w:r>
      <w:proofErr w:type="spellStart"/>
      <w:r w:rsidRPr="002D2FCC">
        <w:rPr>
          <w:szCs w:val="18"/>
        </w:rPr>
        <w:t>Misquitta</w:t>
      </w:r>
      <w:proofErr w:type="spellEnd"/>
      <w:r w:rsidRPr="002D2FCC">
        <w:rPr>
          <w:szCs w:val="18"/>
        </w:rPr>
        <w:t xml:space="preserve">, and Markus Kraft. "A quantitative study of the clustering of polycyclic aromatic hydrocarbons at high temperatures." </w:t>
      </w:r>
      <w:r w:rsidRPr="002D2FCC">
        <w:rPr>
          <w:i/>
          <w:iCs/>
          <w:szCs w:val="18"/>
        </w:rPr>
        <w:t>Physical chemistry chemical physics</w:t>
      </w:r>
      <w:r w:rsidRPr="002D2FCC">
        <w:rPr>
          <w:szCs w:val="18"/>
        </w:rPr>
        <w:t xml:space="preserve"> 14.12 (2012): 4081-4094.</w:t>
      </w:r>
    </w:p>
    <w:p w:rsidR="00D0191E" w:rsidP="00D0191E" w:rsidRDefault="00D0191E" w14:paraId="005A4350" w14:textId="77777777">
      <w:pPr>
        <w:rPr>
          <w:lang w:eastAsia="cs-CZ"/>
        </w:rPr>
      </w:pPr>
    </w:p>
    <w:sectPr w:rsidR="00D0191E">
      <w:headerReference w:type="default" r:id="rId7"/>
      <w:footerReference w:type="default" r:id="rId8"/>
      <w:pgSz w:w="12240" w:h="15840" w:orient="portrait"/>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0543" w:rsidRDefault="00FC0543" w14:paraId="2E237B35" w14:textId="77777777">
      <w:pPr>
        <w:spacing w:after="0"/>
      </w:pPr>
      <w:r>
        <w:separator/>
      </w:r>
    </w:p>
  </w:endnote>
  <w:endnote w:type="continuationSeparator" w:id="0">
    <w:p w:rsidR="00FC0543" w:rsidRDefault="00FC0543" w14:paraId="34826966"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A00002AF" w:usb1="500078FB" w:usb2="00000000" w:usb3="00000000" w:csb0="0000009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5C3D" w:rsidRDefault="009A4516" w14:paraId="02BF27BC" w14:textId="77777777">
    <w:pPr>
      <w:pStyle w:val="Footer"/>
    </w:pPr>
    <w:r>
      <w:t xml:space="preserve">Acta </w:t>
    </w:r>
    <w:proofErr w:type="spellStart"/>
    <w:r>
      <w:t>Cryst</w:t>
    </w:r>
    <w:proofErr w:type="spellEnd"/>
    <w:r>
      <w:t>. (2025). A81, e1</w:t>
    </w:r>
  </w:p>
  <w:p w:rsidR="005F5C3D" w:rsidRDefault="005F5C3D" w14:paraId="02BF27BD" w14:textId="77777777">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0543" w:rsidRDefault="00FC0543" w14:paraId="0B0C8B13" w14:textId="77777777">
      <w:pPr>
        <w:spacing w:after="0"/>
      </w:pPr>
      <w:r>
        <w:separator/>
      </w:r>
    </w:p>
  </w:footnote>
  <w:footnote w:type="continuationSeparator" w:id="0">
    <w:p w:rsidR="00FC0543" w:rsidRDefault="00FC0543" w14:paraId="65995C09"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5C3D" w:rsidRDefault="009A4516" w14:paraId="02BF27BB" w14:textId="77777777">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trackRevisions w:val="false"/>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5C3D"/>
    <w:rsid w:val="00033D29"/>
    <w:rsid w:val="00060268"/>
    <w:rsid w:val="00070DAF"/>
    <w:rsid w:val="00095E56"/>
    <w:rsid w:val="000B54B3"/>
    <w:rsid w:val="002416AE"/>
    <w:rsid w:val="002A1A99"/>
    <w:rsid w:val="002D2FCC"/>
    <w:rsid w:val="002E0834"/>
    <w:rsid w:val="002E61B0"/>
    <w:rsid w:val="0030073A"/>
    <w:rsid w:val="00434815"/>
    <w:rsid w:val="00476DB0"/>
    <w:rsid w:val="004D0FB6"/>
    <w:rsid w:val="005F5C3D"/>
    <w:rsid w:val="006221B3"/>
    <w:rsid w:val="007A5424"/>
    <w:rsid w:val="007E091D"/>
    <w:rsid w:val="007E15BB"/>
    <w:rsid w:val="0081038B"/>
    <w:rsid w:val="009138CA"/>
    <w:rsid w:val="009A4516"/>
    <w:rsid w:val="00A03087"/>
    <w:rsid w:val="00A55BF0"/>
    <w:rsid w:val="00AC383F"/>
    <w:rsid w:val="00D0191E"/>
    <w:rsid w:val="00D35EAC"/>
    <w:rsid w:val="00E36546"/>
    <w:rsid w:val="00EC01ED"/>
    <w:rsid w:val="00FC0543"/>
    <w:rsid w:val="08533CED"/>
    <w:rsid w:val="0A59D3F2"/>
    <w:rsid w:val="0EB4F254"/>
    <w:rsid w:val="0EC31E2D"/>
    <w:rsid w:val="112942F6"/>
    <w:rsid w:val="13D085C7"/>
    <w:rsid w:val="188A6120"/>
    <w:rsid w:val="1BBB62CE"/>
    <w:rsid w:val="1ECDB2E1"/>
    <w:rsid w:val="20315C5E"/>
    <w:rsid w:val="2A7804D6"/>
    <w:rsid w:val="2B1CA184"/>
    <w:rsid w:val="3105FF7F"/>
    <w:rsid w:val="349CBCF7"/>
    <w:rsid w:val="3878E8D6"/>
    <w:rsid w:val="38E92E93"/>
    <w:rsid w:val="39A78361"/>
    <w:rsid w:val="3CEED2CF"/>
    <w:rsid w:val="3E6BA505"/>
    <w:rsid w:val="45B6B239"/>
    <w:rsid w:val="463E0EF7"/>
    <w:rsid w:val="47A4B1F6"/>
    <w:rsid w:val="4C32EEB7"/>
    <w:rsid w:val="4D765B40"/>
    <w:rsid w:val="4EB2032E"/>
    <w:rsid w:val="51C72FF5"/>
    <w:rsid w:val="51D30158"/>
    <w:rsid w:val="5592793B"/>
    <w:rsid w:val="5BCF51F3"/>
    <w:rsid w:val="5C281329"/>
    <w:rsid w:val="5F0230AB"/>
    <w:rsid w:val="5FD1C8B1"/>
    <w:rsid w:val="608E7A76"/>
    <w:rsid w:val="61B38D55"/>
    <w:rsid w:val="61C6B9AE"/>
    <w:rsid w:val="61D1EE28"/>
    <w:rsid w:val="6374D8D0"/>
    <w:rsid w:val="68103A2B"/>
    <w:rsid w:val="69284823"/>
    <w:rsid w:val="6D3618D4"/>
    <w:rsid w:val="7146EC0E"/>
    <w:rsid w:val="71A2ACA1"/>
    <w:rsid w:val="724D9280"/>
    <w:rsid w:val="73521AD3"/>
    <w:rsid w:val="74F95108"/>
    <w:rsid w:val="75A2D5F3"/>
    <w:rsid w:val="7657E183"/>
    <w:rsid w:val="76758256"/>
    <w:rsid w:val="77FB3842"/>
    <w:rsid w:val="79E7BEA3"/>
    <w:rsid w:val="7B693D97"/>
    <w:rsid w:val="7C148659"/>
    <w:rsid w:val="7ED7D7AB"/>
    <w:rsid w:val="7F26B1C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F27A3"/>
  <w15:docId w15:val="{F4F4D9CA-0BDB-45E7-9610-13E5F504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5" w:uiPriority="9" w:semiHidden="1" w:unhideWhenUsed="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5275"/>
    <w:pPr>
      <w:suppressAutoHyphens/>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qFormat/>
    <w:locked/>
    <w:rsid w:val="00925275"/>
    <w:rPr>
      <w:rFonts w:ascii="Arial" w:hAnsi="Arial" w:cs="Arial"/>
      <w:b/>
      <w:bCs/>
      <w:kern w:val="2"/>
      <w:sz w:val="24"/>
      <w:szCs w:val="32"/>
      <w:lang w:val="en-GB" w:eastAsia="de-DE"/>
    </w:rPr>
  </w:style>
  <w:style w:type="character" w:styleId="Heading2Char" w:customStyle="1">
    <w:name w:val="Heading 2 Char"/>
    <w:link w:val="Heading2"/>
    <w:uiPriority w:val="99"/>
    <w:qFormat/>
    <w:locked/>
    <w:rsid w:val="00925275"/>
    <w:rPr>
      <w:rFonts w:ascii="Arial" w:hAnsi="Arial" w:cs="Arial"/>
      <w:b/>
      <w:bCs/>
      <w:iCs/>
      <w:sz w:val="22"/>
      <w:szCs w:val="28"/>
      <w:lang w:val="en-GB" w:eastAsia="de-DE"/>
    </w:rPr>
  </w:style>
  <w:style w:type="character" w:styleId="Heading3Char" w:customStyle="1">
    <w:name w:val="Heading 3 Char"/>
    <w:link w:val="Heading3"/>
    <w:uiPriority w:val="99"/>
    <w:qFormat/>
    <w:locked/>
    <w:rsid w:val="002E03DB"/>
    <w:rPr>
      <w:bCs/>
      <w:i/>
      <w:sz w:val="22"/>
      <w:szCs w:val="24"/>
      <w:lang w:val="en-GB"/>
    </w:rPr>
  </w:style>
  <w:style w:type="character" w:styleId="Heading4Char" w:customStyle="1">
    <w:name w:val="Heading 4 Char"/>
    <w:link w:val="Heading4"/>
    <w:uiPriority w:val="99"/>
    <w:qFormat/>
    <w:locked/>
    <w:rsid w:val="00FF732E"/>
    <w:rPr>
      <w:bCs/>
      <w:sz w:val="18"/>
      <w:szCs w:val="24"/>
      <w:lang w:val="en-GB"/>
    </w:rPr>
  </w:style>
  <w:style w:type="character" w:styleId="HTMLAddressChar" w:customStyle="1">
    <w:name w:val="HTML Address Char"/>
    <w:link w:val="HTMLAddress"/>
    <w:uiPriority w:val="99"/>
    <w:semiHidden/>
    <w:qFormat/>
    <w:rsid w:val="005E6DCD"/>
    <w:rPr>
      <w:i/>
      <w:iCs/>
      <w:lang w:val="de-DE" w:eastAsia="de-DE"/>
    </w:rPr>
  </w:style>
  <w:style w:type="character" w:styleId="Heading5Char" w:customStyle="1">
    <w:name w:val="Heading 5 Char"/>
    <w:link w:val="Heading5"/>
    <w:uiPriority w:val="9"/>
    <w:qFormat/>
    <w:rsid w:val="00605A18"/>
    <w:rPr>
      <w:b/>
      <w:bCs/>
      <w:szCs w:val="22"/>
      <w:lang w:val="en-GB" w:eastAsia="de-DE"/>
    </w:rPr>
  </w:style>
  <w:style w:type="character" w:styleId="Heading6Char" w:customStyle="1">
    <w:name w:val="Heading 6 Char"/>
    <w:link w:val="Heading6"/>
    <w:uiPriority w:val="9"/>
    <w:qFormat/>
    <w:rsid w:val="00777DA8"/>
    <w:rPr>
      <w:rFonts w:eastAsia="Times New Roman" w:cs="Times New Roman"/>
      <w:bCs/>
      <w:szCs w:val="22"/>
      <w:lang w:val="de-DE" w:eastAsia="de-DE"/>
    </w:rPr>
  </w:style>
  <w:style w:type="character" w:styleId="HeaderChar" w:customStyle="1">
    <w:name w:val="Header Char"/>
    <w:link w:val="Header"/>
    <w:uiPriority w:val="99"/>
    <w:qFormat/>
    <w:rsid w:val="00D13351"/>
    <w:rPr>
      <w:lang w:val="en-GB" w:eastAsia="de-DE"/>
    </w:rPr>
  </w:style>
  <w:style w:type="character" w:styleId="FooterChar" w:customStyle="1">
    <w:name w:val="Footer Char"/>
    <w:link w:val="Footer"/>
    <w:uiPriority w:val="99"/>
    <w:qFormat/>
    <w:rsid w:val="00D13351"/>
    <w:rPr>
      <w:lang w:val="en-GB" w:eastAsia="de-DE"/>
    </w:rPr>
  </w:style>
  <w:style w:type="character" w:styleId="BalloonTextChar" w:customStyle="1">
    <w:name w:val="Balloon Text Char"/>
    <w:link w:val="BalloonText"/>
    <w:uiPriority w:val="99"/>
    <w:semiHidden/>
    <w:qFormat/>
    <w:rsid w:val="00C64DBE"/>
    <w:rPr>
      <w:rFonts w:ascii="Tahoma" w:hAnsi="Tahoma" w:cs="Tahoma"/>
      <w:sz w:val="16"/>
      <w:szCs w:val="16"/>
      <w:lang w:val="en-GB" w:eastAsia="de-DE"/>
    </w:rPr>
  </w:style>
  <w:style w:type="paragraph" w:styleId="Heading" w:customStyle="1">
    <w:name w:val="Heading"/>
    <w:basedOn w:val="Normal"/>
    <w:next w:val="BodyText"/>
    <w:qFormat/>
    <w:pPr>
      <w:keepNext/>
      <w:spacing w:before="240"/>
    </w:pPr>
    <w:rPr>
      <w:rFonts w:ascii="Liberation Sans" w:hAnsi="Liberation Sans" w:eastAsia="Noto Sans CJK SC"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Acknowledgement" w:customStyle="1">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styleId="HeaderandFooter" w:customStyle="1">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MFF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Materials Structure</dc:title>
  <dc:subject/>
  <dc:creator>Uživatel systému Windows</dc:creator>
  <dc:description/>
  <lastModifiedBy>Pedro Juan Royo</lastModifiedBy>
  <revision>44</revision>
  <dcterms:created xsi:type="dcterms:W3CDTF">2019-09-04T15:26:00.0000000Z</dcterms:created>
  <dcterms:modified xsi:type="dcterms:W3CDTF">2025-05-19T21:01:05.9831142Z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