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CE179" w14:textId="43979D26" w:rsidR="009F2ABC" w:rsidRDefault="00081AFA">
      <w:pPr>
        <w:pStyle w:val="Heading1"/>
      </w:pPr>
      <w:r>
        <w:t xml:space="preserve">Time-resolved structural </w:t>
      </w:r>
      <w:proofErr w:type="spellStart"/>
      <w:r>
        <w:t>amorphisation</w:t>
      </w:r>
      <w:proofErr w:type="spellEnd"/>
      <w:r>
        <w:t xml:space="preserve"> of LaMO</w:t>
      </w:r>
      <w:r>
        <w:rPr>
          <w:vertAlign w:val="subscript"/>
        </w:rPr>
        <w:t>3</w:t>
      </w:r>
      <w:r>
        <w:t xml:space="preserve"> perovskites by acid leaching</w:t>
      </w:r>
    </w:p>
    <w:p w14:paraId="7FE28F6F" w14:textId="18F78CD6" w:rsidR="009F2ABC" w:rsidRDefault="00081AFA">
      <w:pPr>
        <w:pStyle w:val="Heading2"/>
      </w:pPr>
      <w:r>
        <w:t>E. Solé Chaos</w:t>
      </w:r>
      <w:r>
        <w:rPr>
          <w:vertAlign w:val="superscript"/>
        </w:rPr>
        <w:t>1</w:t>
      </w:r>
      <w:r>
        <w:t>, G. B. Strapasson</w:t>
      </w:r>
      <w:r>
        <w:rPr>
          <w:vertAlign w:val="superscript"/>
        </w:rPr>
        <w:t>1,2,3</w:t>
      </w:r>
      <w:r>
        <w:t>, A. Sanz Arjona</w:t>
      </w:r>
      <w:r>
        <w:rPr>
          <w:vertAlign w:val="superscript"/>
        </w:rPr>
        <w:t>1</w:t>
      </w:r>
      <w:r>
        <w:t>, K. M. Ø. Jensen</w:t>
      </w:r>
      <w:r>
        <w:rPr>
          <w:vertAlign w:val="superscript"/>
        </w:rPr>
        <w:t>1</w:t>
      </w:r>
    </w:p>
    <w:p w14:paraId="31A5832C" w14:textId="7C580494" w:rsidR="009F2ABC" w:rsidRDefault="00081AFA">
      <w:pPr>
        <w:pStyle w:val="Heading3"/>
      </w:pPr>
      <w:r>
        <w:rPr>
          <w:vertAlign w:val="superscript"/>
        </w:rPr>
        <w:t>1</w:t>
      </w:r>
      <w:r w:rsidRPr="00081AFA">
        <w:t xml:space="preserve">Department of Chemistry and Nano-Science Centre, University of Copenhagen, Copenhagen, Denmark, </w:t>
      </w:r>
      <w:r>
        <w:rPr>
          <w:vertAlign w:val="superscript"/>
        </w:rPr>
        <w:t>2</w:t>
      </w:r>
      <w:r w:rsidRPr="00081AFA">
        <w:t xml:space="preserve">Institute of Chemistry, University of Campinas, Campinas, Brazil, </w:t>
      </w:r>
      <w:r>
        <w:rPr>
          <w:vertAlign w:val="superscript"/>
        </w:rPr>
        <w:t>3</w:t>
      </w:r>
      <w:r w:rsidRPr="00081AFA">
        <w:t>Brazilian Synchrotron Light Laboratory, CNPEM, Campinas, Brazil</w:t>
      </w:r>
    </w:p>
    <w:p w14:paraId="35A5ED8D" w14:textId="13DD15C3" w:rsidR="009F2ABC" w:rsidRDefault="00081AFA">
      <w:pPr>
        <w:pStyle w:val="Heading3"/>
        <w:rPr>
          <w:sz w:val="18"/>
          <w:szCs w:val="18"/>
        </w:rPr>
      </w:pPr>
      <w:r>
        <w:t>esc@chem.ku.dk</w:t>
      </w:r>
      <w:r>
        <w:rPr>
          <w:lang w:eastAsia="de-DE"/>
        </w:rPr>
        <w:br/>
      </w:r>
    </w:p>
    <w:p w14:paraId="15FC7870" w14:textId="4983815F" w:rsidR="004E12B0" w:rsidRDefault="004E12B0" w:rsidP="004E12B0">
      <w:r>
        <w:t>Perovskites have been in the spotlight for the last decade due to the potential as energy materials [1]. Even though their scalability has been limited by their rather poor stability, specially under acidic conditions, we can further induce the perovskites collapse to form amorphous materials. Specifically, amorphous first row transition metal oxides have recently stood out as promising materials for multiple applications, for which the enhanced properties are often related to their short-range structural features, describing a direct synthesis-structure-properties dependence. However, synthesising these materials is challenging,</w:t>
      </w:r>
      <w:r w:rsidR="00E14B82">
        <w:t xml:space="preserve"> [2]</w:t>
      </w:r>
      <w:r>
        <w:t xml:space="preserve"> and thus the </w:t>
      </w:r>
      <w:proofErr w:type="spellStart"/>
      <w:r>
        <w:t>amorphisation</w:t>
      </w:r>
      <w:proofErr w:type="spellEnd"/>
      <w:r>
        <w:t xml:space="preserve"> synthesis is proposed as an easy and approachable one-step process, which takes place at room temperature, and it is supported only by sonication [3,</w:t>
      </w:r>
      <w:r w:rsidR="00E14B82">
        <w:t xml:space="preserve"> </w:t>
      </w:r>
      <w:r>
        <w:t>4]. Here, when acidifying an aqueous suspension of perovskite type LaMO</w:t>
      </w:r>
      <w:r w:rsidR="00E14B82">
        <w:rPr>
          <w:vertAlign w:val="subscript"/>
        </w:rPr>
        <w:t>3</w:t>
      </w:r>
      <w:r>
        <w:t xml:space="preserve">, the bigger cation (La) has been described to leach out, causing the structure to collapse into an amorphous </w:t>
      </w:r>
      <w:proofErr w:type="spellStart"/>
      <w:r>
        <w:t>MO</w:t>
      </w:r>
      <w:r w:rsidR="00E14B82">
        <w:rPr>
          <w:vertAlign w:val="subscript"/>
        </w:rPr>
        <w:t>x</w:t>
      </w:r>
      <w:proofErr w:type="spellEnd"/>
      <w:r>
        <w:t xml:space="preserve">. </w:t>
      </w:r>
    </w:p>
    <w:p w14:paraId="11A5288C" w14:textId="77777777" w:rsidR="004E12B0" w:rsidRDefault="004E12B0" w:rsidP="004E12B0">
      <w:r>
        <w:t xml:space="preserve">Additionally, detailed structural analysis of the </w:t>
      </w:r>
      <w:proofErr w:type="spellStart"/>
      <w:r>
        <w:t>amorphisation</w:t>
      </w:r>
      <w:proofErr w:type="spellEnd"/>
      <w:r>
        <w:t xml:space="preserve"> process by standard X-rays measurements is deficient, and often samples are simply described to be amorphous if no defined Bragg peaks are observed. Thus, if we aim to map structure-synthesis relations, it is required to apply more advanced structural characterisation techniques, being total scattering and pair distribution function (PDF) analysis of great interest, due to their possibilities when describing short-range structural features.</w:t>
      </w:r>
    </w:p>
    <w:p w14:paraId="237047E7" w14:textId="762B28BE" w:rsidR="00A30221" w:rsidRDefault="004E12B0" w:rsidP="00A30221">
      <w:r>
        <w:t>With our study, we are tracking the structural collapse of LaMO</w:t>
      </w:r>
      <w:r w:rsidR="00E14B82">
        <w:rPr>
          <w:vertAlign w:val="subscript"/>
        </w:rPr>
        <w:t>3</w:t>
      </w:r>
      <w:r>
        <w:t xml:space="preserve"> transition metal (i.e. Fe, Co, Ni) perovskites into nanostructured amorphous oxides, by evaluating different acidifying agents (e.g. FeCl</w:t>
      </w:r>
      <w:r w:rsidR="00E14B82">
        <w:rPr>
          <w:vertAlign w:val="subscript"/>
        </w:rPr>
        <w:t>3</w:t>
      </w:r>
      <w:r>
        <w:t>, HCl, HNO</w:t>
      </w:r>
      <w:r w:rsidR="00E14B82">
        <w:rPr>
          <w:vertAlign w:val="subscript"/>
        </w:rPr>
        <w:t>3</w:t>
      </w:r>
      <w:r>
        <w:t>) and various transition metal compositions of the initial perovskite (e.g. LaNiO</w:t>
      </w:r>
      <w:r w:rsidR="00E14B82">
        <w:rPr>
          <w:vertAlign w:val="subscript"/>
        </w:rPr>
        <w:t>3</w:t>
      </w:r>
      <w:r>
        <w:t xml:space="preserve">, </w:t>
      </w:r>
      <w:proofErr w:type="gramStart"/>
      <w:r>
        <w:t>La(</w:t>
      </w:r>
      <w:proofErr w:type="spellStart"/>
      <w:proofErr w:type="gramEnd"/>
      <w:r>
        <w:t>NiFe</w:t>
      </w:r>
      <w:proofErr w:type="spellEnd"/>
      <w:r>
        <w:t>)O</w:t>
      </w:r>
      <w:r w:rsidR="00E14B82">
        <w:rPr>
          <w:vertAlign w:val="subscript"/>
        </w:rPr>
        <w:t>3</w:t>
      </w:r>
      <w:r>
        <w:t xml:space="preserve">, </w:t>
      </w:r>
      <w:proofErr w:type="gramStart"/>
      <w:r>
        <w:t>La(</w:t>
      </w:r>
      <w:proofErr w:type="spellStart"/>
      <w:proofErr w:type="gramEnd"/>
      <w:r>
        <w:t>NiFeCo</w:t>
      </w:r>
      <w:proofErr w:type="spellEnd"/>
      <w:r>
        <w:t>)O</w:t>
      </w:r>
      <w:r w:rsidR="00E14B82">
        <w:rPr>
          <w:vertAlign w:val="subscript"/>
        </w:rPr>
        <w:t>3</w:t>
      </w:r>
      <w:r>
        <w:t>). Collapse of the perovskites can be observed through time-resolved X-ray total scattering measurements and subsequent PDF analysis (Fig. 1). The loss of long-range features related to the crystalline perovskite, together with observable changes in the first interatomic distances (&lt; 5</w:t>
      </w:r>
      <w:r w:rsidR="00E14B82">
        <w:t xml:space="preserve"> </w:t>
      </w:r>
      <w:r>
        <w:t>Å), allow us to follow the leaching of the La ions and the structural rearrangements taking place in the remaining structure. These reactions will provide valuable insight into alternative ways of formation of amorphous oxides, and to the relationship between the oxide structural stability against their composition and acidic conditions, from an atomic perspective</w:t>
      </w:r>
      <w:r w:rsidR="007618DA">
        <w:t>.</w:t>
      </w:r>
    </w:p>
    <w:p w14:paraId="0D915C9C" w14:textId="77777777" w:rsidR="00AA293B" w:rsidRDefault="00AA293B" w:rsidP="00A30221"/>
    <w:p w14:paraId="178FF267" w14:textId="093FF874" w:rsidR="009F2ABC" w:rsidRDefault="00A30221" w:rsidP="00A30221">
      <w:pPr>
        <w:jc w:val="center"/>
      </w:pPr>
      <w:r>
        <w:pict w14:anchorId="3D8C9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3pt;height:161.25pt">
            <v:imagedata r:id="rId7" o:title="Picture1"/>
          </v:shape>
        </w:pict>
      </w:r>
      <w:r w:rsidR="00000000">
        <w:pict w14:anchorId="21E86527">
          <v:shape id="_x0000_tole_rId2" o:spid="_x0000_s2051" type="#_x0000_t75" style="position:absolute;left:0;text-align:left;margin-left:0;margin-top:0;width:50pt;height:50pt;z-index:1;visibility:hidden;mso-position-horizontal-relative:text;mso-position-vertical-relative:text">
            <o:lock v:ext="edit" selection="t"/>
          </v:shape>
        </w:pict>
      </w:r>
    </w:p>
    <w:p w14:paraId="08531CA2" w14:textId="21CEE145" w:rsidR="009F2ABC" w:rsidRDefault="00000000">
      <w:pPr>
        <w:pStyle w:val="Heading6"/>
      </w:pPr>
      <w:r w:rsidRPr="00E14B82">
        <w:rPr>
          <w:b/>
          <w:bCs w:val="0"/>
        </w:rPr>
        <w:t>Figure 1.</w:t>
      </w:r>
      <w:r w:rsidRPr="00E14B82">
        <w:t xml:space="preserve"> </w:t>
      </w:r>
      <w:r w:rsidR="00E14B82" w:rsidRPr="00E14B82">
        <w:t>Time</w:t>
      </w:r>
      <w:r w:rsidR="00862F9B">
        <w:t>-</w:t>
      </w:r>
      <w:r w:rsidR="00E14B82" w:rsidRPr="00E14B82">
        <w:t>resolved Pair Distribution Function (PDF) following the breakdown of the initial perovskite. Insets show the evolution from LaMO</w:t>
      </w:r>
      <w:r w:rsidR="00E14B82">
        <w:rPr>
          <w:vertAlign w:val="subscript"/>
        </w:rPr>
        <w:t>3</w:t>
      </w:r>
      <w:r w:rsidR="00E14B82" w:rsidRPr="00E14B82">
        <w:t xml:space="preserve"> crystal structure into amorphous transition metal oxides.</w:t>
      </w:r>
    </w:p>
    <w:p w14:paraId="60FA2BE1" w14:textId="77777777" w:rsidR="00AB6C8D" w:rsidRDefault="00AB6C8D">
      <w:pPr>
        <w:rPr>
          <w:lang w:eastAsia="cs-CZ"/>
        </w:rPr>
      </w:pPr>
    </w:p>
    <w:p w14:paraId="63B537E7" w14:textId="77777777" w:rsidR="00A30221" w:rsidRDefault="00A30221">
      <w:pPr>
        <w:rPr>
          <w:lang w:eastAsia="cs-CZ"/>
        </w:rPr>
      </w:pPr>
    </w:p>
    <w:p w14:paraId="55B12F72" w14:textId="6ABF18D7" w:rsidR="00E14B82" w:rsidRDefault="00E14B82" w:rsidP="00E14B82">
      <w:pPr>
        <w:pStyle w:val="Heading4"/>
      </w:pPr>
      <w:r w:rsidRPr="00E14B82">
        <w:rPr>
          <w:lang w:val="es-ES"/>
        </w:rPr>
        <w:t xml:space="preserve">[1] </w:t>
      </w:r>
      <w:proofErr w:type="spellStart"/>
      <w:r w:rsidRPr="00E14B82">
        <w:rPr>
          <w:lang w:val="es-ES"/>
        </w:rPr>
        <w:t>Monama</w:t>
      </w:r>
      <w:proofErr w:type="spellEnd"/>
      <w:r w:rsidRPr="00E14B82">
        <w:rPr>
          <w:lang w:val="es-ES"/>
        </w:rPr>
        <w:t xml:space="preserve">, G. R., </w:t>
      </w:r>
      <w:proofErr w:type="spellStart"/>
      <w:r w:rsidRPr="00E14B82">
        <w:rPr>
          <w:lang w:val="es-ES"/>
        </w:rPr>
        <w:t>Ramohlola</w:t>
      </w:r>
      <w:proofErr w:type="spellEnd"/>
      <w:r w:rsidRPr="00E14B82">
        <w:rPr>
          <w:lang w:val="es-ES"/>
        </w:rPr>
        <w:t xml:space="preserve">, K. E., </w:t>
      </w:r>
      <w:proofErr w:type="spellStart"/>
      <w:r w:rsidRPr="00E14B82">
        <w:rPr>
          <w:lang w:val="es-ES"/>
        </w:rPr>
        <w:t>Iwuoha</w:t>
      </w:r>
      <w:proofErr w:type="spellEnd"/>
      <w:r w:rsidRPr="00E14B82">
        <w:rPr>
          <w:lang w:val="es-ES"/>
        </w:rPr>
        <w:t xml:space="preserve">, E. I., </w:t>
      </w:r>
      <w:proofErr w:type="spellStart"/>
      <w:r w:rsidRPr="00E14B82">
        <w:rPr>
          <w:lang w:val="es-ES"/>
        </w:rPr>
        <w:t>Modibane</w:t>
      </w:r>
      <w:proofErr w:type="spellEnd"/>
      <w:r w:rsidRPr="00E14B82">
        <w:rPr>
          <w:lang w:val="es-ES"/>
        </w:rPr>
        <w:t xml:space="preserve">, K. D. (2022). </w:t>
      </w:r>
      <w:r w:rsidRPr="00E14B82">
        <w:rPr>
          <w:i/>
          <w:iCs/>
        </w:rPr>
        <w:t>Results in Chemistry</w:t>
      </w:r>
      <w:r>
        <w:t xml:space="preserve">, </w:t>
      </w:r>
      <w:r w:rsidRPr="00E14B82">
        <w:rPr>
          <w:b/>
        </w:rPr>
        <w:t>4</w:t>
      </w:r>
      <w:r>
        <w:t>, 100321.</w:t>
      </w:r>
    </w:p>
    <w:p w14:paraId="0976021B" w14:textId="77777777" w:rsidR="00E14B82" w:rsidRDefault="00E14B82" w:rsidP="00E14B82">
      <w:pPr>
        <w:pStyle w:val="Heading4"/>
      </w:pPr>
      <w:r>
        <w:t xml:space="preserve">[2] Guo, T., Li, L., Wang, Z. (2022). </w:t>
      </w:r>
      <w:r w:rsidRPr="00E14B82">
        <w:rPr>
          <w:i/>
          <w:iCs/>
        </w:rPr>
        <w:t>Adv. Energy Mater</w:t>
      </w:r>
      <w:r>
        <w:t xml:space="preserve">., </w:t>
      </w:r>
      <w:r w:rsidRPr="00E14B82">
        <w:rPr>
          <w:b/>
        </w:rPr>
        <w:t>12</w:t>
      </w:r>
      <w:r>
        <w:t>, 2200827.</w:t>
      </w:r>
    </w:p>
    <w:p w14:paraId="0F3B898C" w14:textId="77777777" w:rsidR="00E14B82" w:rsidRPr="00C633B8" w:rsidRDefault="00E14B82" w:rsidP="00E14B82">
      <w:pPr>
        <w:pStyle w:val="Heading4"/>
        <w:rPr>
          <w:lang w:val="de-DE"/>
        </w:rPr>
      </w:pPr>
      <w:r w:rsidRPr="00E14B82">
        <w:rPr>
          <w:lang w:val="de-DE"/>
        </w:rPr>
        <w:t xml:space="preserve">[3] Chen, G., Zhu, Y., Chen, H.M., </w:t>
      </w:r>
      <w:r w:rsidRPr="00E14B82">
        <w:rPr>
          <w:i/>
          <w:iCs/>
          <w:lang w:val="de-DE"/>
        </w:rPr>
        <w:t>et al</w:t>
      </w:r>
      <w:r w:rsidRPr="00E14B82">
        <w:rPr>
          <w:lang w:val="de-DE"/>
        </w:rPr>
        <w:t xml:space="preserve">. </w:t>
      </w:r>
      <w:r w:rsidRPr="00C633B8">
        <w:rPr>
          <w:lang w:val="de-DE"/>
        </w:rPr>
        <w:t xml:space="preserve">(2019). </w:t>
      </w:r>
      <w:r w:rsidRPr="00C633B8">
        <w:rPr>
          <w:i/>
          <w:iCs/>
          <w:lang w:val="de-DE"/>
        </w:rPr>
        <w:t>Adv. Mater</w:t>
      </w:r>
      <w:r w:rsidRPr="00C633B8">
        <w:rPr>
          <w:lang w:val="de-DE"/>
        </w:rPr>
        <w:t xml:space="preserve">., </w:t>
      </w:r>
      <w:r w:rsidRPr="00C633B8">
        <w:rPr>
          <w:b/>
          <w:lang w:val="de-DE"/>
        </w:rPr>
        <w:t>31</w:t>
      </w:r>
      <w:r w:rsidRPr="00C633B8">
        <w:rPr>
          <w:lang w:val="de-DE"/>
        </w:rPr>
        <w:t>, 1900883.</w:t>
      </w:r>
    </w:p>
    <w:p w14:paraId="6541A1C8" w14:textId="307C6032" w:rsidR="009F2ABC" w:rsidRDefault="00E14B82" w:rsidP="00C633B8">
      <w:pPr>
        <w:pStyle w:val="Heading4"/>
      </w:pPr>
      <w:r w:rsidRPr="00E14B82">
        <w:rPr>
          <w:lang w:val="de-DE"/>
        </w:rPr>
        <w:t xml:space="preserve">[4] Geiger, S., Kasian, O., Ledendecker, M., </w:t>
      </w:r>
      <w:r w:rsidRPr="00E14B82">
        <w:rPr>
          <w:i/>
          <w:iCs/>
          <w:lang w:val="de-DE"/>
        </w:rPr>
        <w:t>et al</w:t>
      </w:r>
      <w:r w:rsidRPr="00E14B82">
        <w:rPr>
          <w:lang w:val="de-DE"/>
        </w:rPr>
        <w:t xml:space="preserve">. </w:t>
      </w:r>
      <w:r>
        <w:t xml:space="preserve">(2018). </w:t>
      </w:r>
      <w:r w:rsidRPr="00E14B82">
        <w:rPr>
          <w:i/>
          <w:iCs/>
        </w:rPr>
        <w:t xml:space="preserve">Nat. </w:t>
      </w:r>
      <w:proofErr w:type="spellStart"/>
      <w:r w:rsidRPr="00E14B82">
        <w:rPr>
          <w:i/>
          <w:iCs/>
        </w:rPr>
        <w:t>Catal</w:t>
      </w:r>
      <w:proofErr w:type="spellEnd"/>
      <w:r>
        <w:t xml:space="preserve">., </w:t>
      </w:r>
      <w:r w:rsidRPr="00E14B82">
        <w:rPr>
          <w:b/>
        </w:rPr>
        <w:t>1</w:t>
      </w:r>
      <w:r>
        <w:t>, 508.</w:t>
      </w:r>
    </w:p>
    <w:sectPr w:rsidR="009F2ABC">
      <w:headerReference w:type="default" r:id="rId8"/>
      <w:footerReference w:type="default" r:id="rId9"/>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CEE7F" w14:textId="77777777" w:rsidR="009D1644" w:rsidRDefault="009D1644">
      <w:pPr>
        <w:spacing w:after="0"/>
      </w:pPr>
      <w:r>
        <w:separator/>
      </w:r>
    </w:p>
  </w:endnote>
  <w:endnote w:type="continuationSeparator" w:id="0">
    <w:p w14:paraId="1D12CDF9" w14:textId="77777777" w:rsidR="009D1644" w:rsidRDefault="009D16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08333" w14:textId="77777777" w:rsidR="009F2ABC" w:rsidRDefault="009F2ABC">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A0531" w14:textId="77777777" w:rsidR="009D1644" w:rsidRDefault="009D1644">
      <w:pPr>
        <w:spacing w:after="0"/>
      </w:pPr>
      <w:r>
        <w:separator/>
      </w:r>
    </w:p>
  </w:footnote>
  <w:footnote w:type="continuationSeparator" w:id="0">
    <w:p w14:paraId="40D3B16A" w14:textId="77777777" w:rsidR="009D1644" w:rsidRDefault="009D16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5A5FF" w14:textId="698DA80A" w:rsidR="009F2ABC" w:rsidRDefault="00000000">
    <w:pPr>
      <w:tabs>
        <w:tab w:val="center" w:pos="4703"/>
        <w:tab w:val="right" w:pos="9406"/>
      </w:tabs>
    </w:pPr>
    <w:r>
      <w:rPr>
        <w:b/>
        <w:bCs/>
      </w:rPr>
      <w:t>M</w:t>
    </w:r>
    <w:r w:rsidR="002176F5">
      <w:rPr>
        <w:b/>
        <w:bCs/>
      </w:rPr>
      <w:t>36</w:t>
    </w:r>
    <w:r>
      <w:tab/>
    </w:r>
    <w:r w:rsidR="002176F5">
      <w:t xml:space="preserve">                                   </w:t>
    </w:r>
    <w:r w:rsidR="002176F5" w:rsidRPr="002176F5">
      <w:rPr>
        <w:b/>
        <w:bCs/>
      </w:rPr>
      <w:t>In situ and operando diffraction; time-resolved techniques</w: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proofState w:spelling="clean" w:grammar="clean"/>
  <w:doNotTrackMoves/>
  <w:defaultTabStop w:val="720"/>
  <w:autoHyphenation/>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2ABC"/>
    <w:rsid w:val="00081AFA"/>
    <w:rsid w:val="00093388"/>
    <w:rsid w:val="002176F5"/>
    <w:rsid w:val="00360DB8"/>
    <w:rsid w:val="003A6D87"/>
    <w:rsid w:val="004E12B0"/>
    <w:rsid w:val="006B4EE2"/>
    <w:rsid w:val="007618DA"/>
    <w:rsid w:val="00862F9B"/>
    <w:rsid w:val="009D1644"/>
    <w:rsid w:val="009F0D72"/>
    <w:rsid w:val="009F2ABC"/>
    <w:rsid w:val="00A25936"/>
    <w:rsid w:val="00A30221"/>
    <w:rsid w:val="00AA293B"/>
    <w:rsid w:val="00AB6C8D"/>
    <w:rsid w:val="00C633B8"/>
    <w:rsid w:val="00E14B82"/>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941900"/>
  <w15:docId w15:val="{AB26062B-5141-4FC9-B196-14BDBF69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K" w:eastAsia="en-DK" w:bidi="ar-SA"/>
      </w:rPr>
    </w:rPrDefault>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75"/>
    <w:pPr>
      <w:suppressAutoHyphens/>
      <w:spacing w:after="120"/>
      <w:jc w:val="both"/>
    </w:pPr>
    <w:rPr>
      <w:lang w:val="en-GB" w:eastAsia="de-DE"/>
    </w:rPr>
  </w:style>
  <w:style w:type="paragraph" w:styleId="Heading1">
    <w:name w:val="heading 1"/>
    <w:basedOn w:val="Normal"/>
    <w:next w:val="Heading2"/>
    <w:link w:val="Heading1Char"/>
    <w:uiPriority w:val="99"/>
    <w:qFormat/>
    <w:rsid w:val="00925275"/>
    <w:pPr>
      <w:keepNext/>
      <w:spacing w:before="240" w:after="60"/>
      <w:jc w:val="center"/>
      <w:outlineLvl w:val="0"/>
    </w:pPr>
    <w:rPr>
      <w:rFonts w:ascii="Arial" w:hAnsi="Arial" w:cs="Arial"/>
      <w:b/>
      <w:bCs/>
      <w:kern w:val="2"/>
      <w:sz w:val="24"/>
      <w:szCs w:val="32"/>
    </w:rPr>
  </w:style>
  <w:style w:type="paragraph" w:styleId="Heading2">
    <w:name w:val="heading 2"/>
    <w:basedOn w:val="Normal"/>
    <w:next w:val="Heading3"/>
    <w:link w:val="Heading2Char"/>
    <w:uiPriority w:val="99"/>
    <w:qFormat/>
    <w:rsid w:val="00925275"/>
    <w:pPr>
      <w:keepNext/>
      <w:spacing w:before="240" w:after="240"/>
      <w:jc w:val="center"/>
      <w:outlineLvl w:val="1"/>
    </w:pPr>
    <w:rPr>
      <w:rFonts w:ascii="Arial" w:hAnsi="Arial" w:cs="Arial"/>
      <w:b/>
      <w:bCs/>
      <w:iCs/>
      <w:szCs w:val="28"/>
    </w:rPr>
  </w:style>
  <w:style w:type="paragraph" w:styleId="Heading3">
    <w:name w:val="heading 3"/>
    <w:basedOn w:val="Normal"/>
    <w:next w:val="Normal"/>
    <w:link w:val="Heading3Char"/>
    <w:uiPriority w:val="99"/>
    <w:qFormat/>
    <w:rsid w:val="002E03DB"/>
    <w:pPr>
      <w:keepNext/>
      <w:jc w:val="center"/>
      <w:outlineLvl w:val="2"/>
    </w:pPr>
    <w:rPr>
      <w:bCs/>
      <w:i/>
      <w:szCs w:val="24"/>
      <w:lang w:eastAsia="cs-CZ"/>
    </w:rPr>
  </w:style>
  <w:style w:type="paragraph" w:styleId="Heading4">
    <w:name w:val="heading 4"/>
    <w:basedOn w:val="Normal"/>
    <w:next w:val="Normal"/>
    <w:link w:val="Heading4Char"/>
    <w:uiPriority w:val="99"/>
    <w:qFormat/>
    <w:rsid w:val="00FF732E"/>
    <w:pPr>
      <w:keepNext/>
      <w:ind w:left="567" w:hanging="567"/>
      <w:outlineLvl w:val="3"/>
    </w:pPr>
    <w:rPr>
      <w:bCs/>
      <w:sz w:val="18"/>
      <w:szCs w:val="24"/>
      <w:lang w:eastAsia="cs-CZ"/>
    </w:rPr>
  </w:style>
  <w:style w:type="paragraph" w:styleId="Heading5">
    <w:name w:val="heading 5"/>
    <w:basedOn w:val="Heading6"/>
    <w:next w:val="Normal"/>
    <w:link w:val="Heading5Char"/>
    <w:uiPriority w:val="9"/>
    <w:unhideWhenUsed/>
    <w:qFormat/>
    <w:rsid w:val="00605A18"/>
    <w:pPr>
      <w:outlineLvl w:val="4"/>
    </w:pPr>
    <w:rPr>
      <w:b/>
    </w:rPr>
  </w:style>
  <w:style w:type="paragraph" w:styleId="Heading6">
    <w:name w:val="heading 6"/>
    <w:basedOn w:val="Normal"/>
    <w:next w:val="Normal"/>
    <w:link w:val="Heading6Char"/>
    <w:uiPriority w:val="9"/>
    <w:unhideWhenUsed/>
    <w:qFormat/>
    <w:rsid w:val="00777DA8"/>
    <w:pPr>
      <w:spacing w:after="60"/>
      <w:jc w:val="center"/>
      <w:outlineLvl w:val="5"/>
    </w:pPr>
    <w:rPr>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925275"/>
    <w:rPr>
      <w:rFonts w:ascii="Arial" w:hAnsi="Arial" w:cs="Arial"/>
      <w:b/>
      <w:bCs/>
      <w:kern w:val="2"/>
      <w:sz w:val="24"/>
      <w:szCs w:val="32"/>
      <w:lang w:val="en-GB" w:eastAsia="de-DE"/>
    </w:rPr>
  </w:style>
  <w:style w:type="character" w:customStyle="1" w:styleId="Heading2Char">
    <w:name w:val="Heading 2 Char"/>
    <w:link w:val="Heading2"/>
    <w:uiPriority w:val="99"/>
    <w:qFormat/>
    <w:locked/>
    <w:rsid w:val="00925275"/>
    <w:rPr>
      <w:rFonts w:ascii="Arial" w:hAnsi="Arial" w:cs="Arial"/>
      <w:b/>
      <w:bCs/>
      <w:iCs/>
      <w:sz w:val="22"/>
      <w:szCs w:val="28"/>
      <w:lang w:val="en-GB" w:eastAsia="de-DE"/>
    </w:rPr>
  </w:style>
  <w:style w:type="character" w:customStyle="1" w:styleId="Heading3Char">
    <w:name w:val="Heading 3 Char"/>
    <w:link w:val="Heading3"/>
    <w:uiPriority w:val="99"/>
    <w:qFormat/>
    <w:locked/>
    <w:rsid w:val="002E03DB"/>
    <w:rPr>
      <w:bCs/>
      <w:i/>
      <w:sz w:val="22"/>
      <w:szCs w:val="24"/>
      <w:lang w:val="en-GB"/>
    </w:rPr>
  </w:style>
  <w:style w:type="character" w:customStyle="1" w:styleId="Heading4Char">
    <w:name w:val="Heading 4 Char"/>
    <w:link w:val="Heading4"/>
    <w:uiPriority w:val="99"/>
    <w:qFormat/>
    <w:locked/>
    <w:rsid w:val="00FF732E"/>
    <w:rPr>
      <w:bCs/>
      <w:sz w:val="18"/>
      <w:szCs w:val="24"/>
      <w:lang w:val="en-GB"/>
    </w:rPr>
  </w:style>
  <w:style w:type="character" w:customStyle="1" w:styleId="HTMLAddressChar">
    <w:name w:val="HTML Address Char"/>
    <w:link w:val="HTMLAddress"/>
    <w:uiPriority w:val="99"/>
    <w:semiHidden/>
    <w:qFormat/>
    <w:rsid w:val="005E6DCD"/>
    <w:rPr>
      <w:i/>
      <w:iCs/>
      <w:lang w:val="de-DE" w:eastAsia="de-DE"/>
    </w:rPr>
  </w:style>
  <w:style w:type="character" w:customStyle="1" w:styleId="Heading5Char">
    <w:name w:val="Heading 5 Char"/>
    <w:link w:val="Heading5"/>
    <w:uiPriority w:val="9"/>
    <w:qFormat/>
    <w:rsid w:val="00605A18"/>
    <w:rPr>
      <w:b/>
      <w:bCs/>
      <w:szCs w:val="22"/>
      <w:lang w:val="en-GB" w:eastAsia="de-DE"/>
    </w:rPr>
  </w:style>
  <w:style w:type="character" w:customStyle="1" w:styleId="Heading6Char">
    <w:name w:val="Heading 6 Char"/>
    <w:link w:val="Heading6"/>
    <w:uiPriority w:val="9"/>
    <w:qFormat/>
    <w:rsid w:val="00777DA8"/>
    <w:rPr>
      <w:rFonts w:eastAsia="Times New Roman" w:cs="Times New Roman"/>
      <w:bCs/>
      <w:szCs w:val="22"/>
      <w:lang w:val="de-DE" w:eastAsia="de-DE"/>
    </w:rPr>
  </w:style>
  <w:style w:type="character" w:customStyle="1" w:styleId="HeaderChar">
    <w:name w:val="Header Char"/>
    <w:link w:val="Header"/>
    <w:uiPriority w:val="99"/>
    <w:qFormat/>
    <w:rsid w:val="00D13351"/>
    <w:rPr>
      <w:lang w:val="en-GB" w:eastAsia="de-DE"/>
    </w:rPr>
  </w:style>
  <w:style w:type="character" w:customStyle="1" w:styleId="FooterChar">
    <w:name w:val="Footer Char"/>
    <w:link w:val="Footer"/>
    <w:uiPriority w:val="99"/>
    <w:qFormat/>
    <w:rsid w:val="00D13351"/>
    <w:rPr>
      <w:lang w:val="en-GB" w:eastAsia="de-DE"/>
    </w:rPr>
  </w:style>
  <w:style w:type="character" w:customStyle="1" w:styleId="BalloonTextChar">
    <w:name w:val="Balloon Text Char"/>
    <w:link w:val="BalloonText"/>
    <w:uiPriority w:val="99"/>
    <w:semiHidden/>
    <w:qFormat/>
    <w:rsid w:val="00C64DBE"/>
    <w:rPr>
      <w:rFonts w:ascii="Tahoma" w:hAnsi="Tahoma" w:cs="Tahoma"/>
      <w:sz w:val="16"/>
      <w:szCs w:val="16"/>
      <w:lang w:val="en-GB" w:eastAsia="de-DE"/>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cknowledgement">
    <w:name w:val="Acknowledgement"/>
    <w:basedOn w:val="Normal"/>
    <w:qFormat/>
    <w:rsid w:val="00777DA8"/>
    <w:rPr>
      <w:i/>
    </w:rPr>
  </w:style>
  <w:style w:type="paragraph" w:styleId="HTMLAddress">
    <w:name w:val="HTML Address"/>
    <w:basedOn w:val="Normal"/>
    <w:link w:val="HTMLAddressChar"/>
    <w:uiPriority w:val="99"/>
    <w:semiHidden/>
    <w:unhideWhenUsed/>
    <w:qFormat/>
    <w:rsid w:val="005E6DCD"/>
    <w:rPr>
      <w:i/>
      <w:i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13351"/>
    <w:pPr>
      <w:tabs>
        <w:tab w:val="center" w:pos="4536"/>
        <w:tab w:val="right" w:pos="9072"/>
      </w:tabs>
    </w:pPr>
  </w:style>
  <w:style w:type="paragraph" w:styleId="Footer">
    <w:name w:val="footer"/>
    <w:basedOn w:val="Normal"/>
    <w:link w:val="FooterChar"/>
    <w:uiPriority w:val="99"/>
    <w:unhideWhenUsed/>
    <w:rsid w:val="00D13351"/>
    <w:pPr>
      <w:tabs>
        <w:tab w:val="center" w:pos="4536"/>
        <w:tab w:val="right" w:pos="9072"/>
      </w:tabs>
    </w:pPr>
  </w:style>
  <w:style w:type="paragraph" w:styleId="BalloonText">
    <w:name w:val="Balloon Text"/>
    <w:basedOn w:val="Normal"/>
    <w:link w:val="BalloonTextChar"/>
    <w:uiPriority w:val="99"/>
    <w:semiHidden/>
    <w:unhideWhenUsed/>
    <w:qFormat/>
    <w:rsid w:val="00C64DBE"/>
    <w:pPr>
      <w:spacing w:after="0"/>
    </w:pPr>
    <w:rPr>
      <w:rFonts w:ascii="Tahoma" w:hAnsi="Tahoma" w:cs="Tahoma"/>
      <w:sz w:val="16"/>
      <w:szCs w:val="16"/>
    </w:rPr>
  </w:style>
  <w:style w:type="table" w:styleId="TableGrid">
    <w:name w:val="Table Grid"/>
    <w:basedOn w:val="TableNormal"/>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81AFA"/>
    <w:rPr>
      <w:color w:val="0563C1"/>
      <w:u w:val="single"/>
    </w:rPr>
  </w:style>
  <w:style w:type="character" w:styleId="UnresolvedMention">
    <w:name w:val="Unresolved Mention"/>
    <w:uiPriority w:val="99"/>
    <w:semiHidden/>
    <w:unhideWhenUsed/>
    <w:rsid w:val="00081A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Materials Structure</vt:lpstr>
    </vt:vector>
  </TitlesOfParts>
  <Company>MFF UK</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Emma Solé Chaos</cp:lastModifiedBy>
  <cp:revision>28</cp:revision>
  <cp:lastPrinted>2025-05-19T11:28:00Z</cp:lastPrinted>
  <dcterms:created xsi:type="dcterms:W3CDTF">2019-09-04T15:26:00Z</dcterms:created>
  <dcterms:modified xsi:type="dcterms:W3CDTF">2025-05-19T11:53:00Z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