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428C" w14:textId="4A4476DD" w:rsidR="00CA5BD3" w:rsidRDefault="00CA5BD3">
      <w:pPr>
        <w:pStyle w:val="Heading2"/>
        <w:rPr>
          <w:iCs w:val="0"/>
          <w:kern w:val="2"/>
          <w:sz w:val="24"/>
          <w:szCs w:val="32"/>
        </w:rPr>
      </w:pPr>
      <w:r w:rsidRPr="00CA5BD3">
        <w:rPr>
          <w:iCs w:val="0"/>
          <w:kern w:val="2"/>
          <w:sz w:val="24"/>
          <w:szCs w:val="32"/>
        </w:rPr>
        <w:t>Aperiodic crystallography from 3-dimen</w:t>
      </w:r>
      <w:r w:rsidR="00065FD0">
        <w:rPr>
          <w:iCs w:val="0"/>
          <w:kern w:val="2"/>
          <w:sz w:val="24"/>
          <w:szCs w:val="32"/>
        </w:rPr>
        <w:t>s</w:t>
      </w:r>
      <w:r w:rsidRPr="00CA5BD3">
        <w:rPr>
          <w:iCs w:val="0"/>
          <w:kern w:val="2"/>
          <w:sz w:val="24"/>
          <w:szCs w:val="32"/>
        </w:rPr>
        <w:t>ional electron diffraction using kinematic and dynamical approaches</w:t>
      </w:r>
      <w:r w:rsidRPr="00CA5BD3">
        <w:rPr>
          <w:iCs w:val="0"/>
          <w:kern w:val="2"/>
          <w:sz w:val="24"/>
          <w:szCs w:val="32"/>
        </w:rPr>
        <w:t xml:space="preserve"> </w:t>
      </w:r>
    </w:p>
    <w:p w14:paraId="5D882761" w14:textId="69B1AFF1" w:rsidR="00A953A1" w:rsidRDefault="00CA5BD3">
      <w:pPr>
        <w:pStyle w:val="Heading2"/>
      </w:pPr>
      <w:r>
        <w:t>Gwladys</w:t>
      </w:r>
      <w:r w:rsidR="006D4491">
        <w:t xml:space="preserve"> </w:t>
      </w:r>
      <w:r>
        <w:t>Steciuk</w:t>
      </w:r>
      <w:r w:rsidR="006D4491">
        <w:rPr>
          <w:vertAlign w:val="superscript"/>
        </w:rPr>
        <w:t>1</w:t>
      </w:r>
    </w:p>
    <w:p w14:paraId="4B5B96EB" w14:textId="1DCFC203" w:rsidR="00A953A1" w:rsidRPr="00CA5BD3" w:rsidRDefault="006D4491">
      <w:pPr>
        <w:pStyle w:val="Heading3"/>
        <w:rPr>
          <w:lang w:val="fr-FR"/>
        </w:rPr>
      </w:pPr>
      <w:r w:rsidRPr="00CA5BD3">
        <w:rPr>
          <w:vertAlign w:val="superscript"/>
          <w:lang w:val="fr-FR"/>
        </w:rPr>
        <w:t>1</w:t>
      </w:r>
      <w:r w:rsidR="00CA5BD3" w:rsidRPr="00CA5BD3">
        <w:rPr>
          <w:lang w:val="fr-FR"/>
        </w:rPr>
        <w:t xml:space="preserve"> </w:t>
      </w:r>
      <w:r w:rsidR="00CA5BD3" w:rsidRPr="00CA5BD3">
        <w:rPr>
          <w:lang w:val="fr-FR"/>
        </w:rPr>
        <w:t>Université de Lorraine, CNRS, IJL, F-57000 Metz, France</w:t>
      </w:r>
    </w:p>
    <w:p w14:paraId="13B997AE" w14:textId="7FC8A784" w:rsidR="00A953A1" w:rsidRPr="00CA5BD3" w:rsidRDefault="00CA5BD3">
      <w:pPr>
        <w:pStyle w:val="Heading3"/>
        <w:rPr>
          <w:sz w:val="18"/>
          <w:szCs w:val="18"/>
          <w:lang w:val="fr-FR"/>
        </w:rPr>
      </w:pPr>
      <w:r w:rsidRPr="00CA5BD3">
        <w:rPr>
          <w:lang w:val="fr-FR"/>
        </w:rPr>
        <w:t>gwladys.steciuk</w:t>
      </w:r>
      <w:r w:rsidR="006D4491" w:rsidRPr="00CA5BD3">
        <w:rPr>
          <w:lang w:val="fr-FR"/>
        </w:rPr>
        <w:t>@</w:t>
      </w:r>
      <w:r w:rsidRPr="00CA5BD3">
        <w:rPr>
          <w:lang w:val="fr-FR"/>
        </w:rPr>
        <w:t>univ-lorraine.fr</w:t>
      </w:r>
      <w:r w:rsidR="006D4491" w:rsidRPr="00CA5BD3">
        <w:rPr>
          <w:lang w:val="fr-FR"/>
        </w:rPr>
        <w:t xml:space="preserve"> </w:t>
      </w:r>
      <w:r w:rsidR="006D4491" w:rsidRPr="00CA5BD3">
        <w:rPr>
          <w:lang w:val="fr-FR" w:eastAsia="de-DE"/>
        </w:rPr>
        <w:br/>
      </w:r>
    </w:p>
    <w:p w14:paraId="2313C81A" w14:textId="4E901AD1" w:rsidR="00967C4E" w:rsidRDefault="00CA5BD3">
      <w:r w:rsidRPr="00CA5BD3">
        <w:t>Aperiodic structures are fascinating due to their unique way of creating a long-range ordering of atoms, ions, or molecules. Beyond producing hypnotic diffraction patterns, aperiodic materials appear across various research fields, showcasing a wide array of properties. To fully understand local crystal chemistry and the associated physicochemical properties, it is essential to characterize and take into account the modulations present in these structures. However, solving the structures of such materials remains a niche within crystallography, primarily accessible through single-crystal X-ray diffraction (SCXR). For crystals that do not meet the criteria for SCXR analysis, three-dimensional electron diffraction (3D ED) techniques have proven effective in addressing crystallographic challenges for sub-micrometric scale samples that conventional X-ray diffraction cannot reach, sometimes revealing even finer details than X-ray methods, such as chirality and improved contrast for light atoms</w:t>
      </w:r>
      <w:r w:rsidR="00967C4E">
        <w:t xml:space="preserve"> [1-2]</w:t>
      </w:r>
      <w:r w:rsidRPr="00CA5BD3">
        <w:t>. In the realm of aperiodic crystallography, 3D electron diffraction is particularly well-suited for detecting and characterizing the symmetry and structure of modulated structures. This suitability arises from the sensitivity of electron diffraction to weak, subtle features in reciprocal space, along with the dynamical effects that enhance the intensity of satellite reflections. Over the last decade, substantial and continuous advancements in 3D ED data acquisition, data reduction, and the application of the dynamical theory of diffraction in structural refinement are gradually bridging the gap between single-crystal X-ray diffraction and 3D ED, making 3D ED an increasingly self-sufficient technique</w:t>
      </w:r>
      <w:r w:rsidR="00967C4E">
        <w:t xml:space="preserve"> [3]</w:t>
      </w:r>
      <w:r w:rsidRPr="00CA5BD3">
        <w:t>. The unique aspects of aperiodic crystallography achieved through 3D ED will be illustrated with examples of incommensurately modulated samples, including minerals</w:t>
      </w:r>
      <w:r w:rsidR="00967C4E">
        <w:t xml:space="preserve"> [4]</w:t>
      </w:r>
      <w:r w:rsidRPr="00CA5BD3">
        <w:t>, biominerals</w:t>
      </w:r>
      <w:r w:rsidR="00967C4E">
        <w:t xml:space="preserve"> [5]</w:t>
      </w:r>
      <w:r w:rsidRPr="00CA5BD3">
        <w:t>, intermetallics</w:t>
      </w:r>
      <w:r w:rsidR="00801205">
        <w:t xml:space="preserve"> [6]</w:t>
      </w:r>
      <w:r w:rsidRPr="00CA5BD3">
        <w:t>, and long-period stacking ordered materials</w:t>
      </w:r>
      <w:r w:rsidR="007F3F0E">
        <w:t xml:space="preserve"> [7]</w:t>
      </w:r>
      <w:r w:rsidR="00C41FD3">
        <w:t xml:space="preserve"> (Fig. 1)</w:t>
      </w:r>
      <w:r w:rsidRPr="00CA5BD3">
        <w:t>.</w:t>
      </w:r>
      <w:r w:rsidR="00967C4E">
        <w:t xml:space="preserve"> </w:t>
      </w:r>
    </w:p>
    <w:p w14:paraId="09619275" w14:textId="77777777" w:rsidR="00B43E14" w:rsidRDefault="00B43E14"/>
    <w:p w14:paraId="6AB3CB0F" w14:textId="1F7092AC" w:rsidR="00C720E6" w:rsidRDefault="008544D2">
      <w:pPr>
        <w:jc w:val="center"/>
      </w:pPr>
      <w:r>
        <w:rPr>
          <w:noProof/>
        </w:rPr>
        <w:drawing>
          <wp:inline distT="0" distB="0" distL="0" distR="0" wp14:anchorId="303114B3" wp14:editId="48527C1F">
            <wp:extent cx="4876800" cy="122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0" cy="1228725"/>
                    </a:xfrm>
                    <a:prstGeom prst="rect">
                      <a:avLst/>
                    </a:prstGeom>
                    <a:noFill/>
                    <a:ln>
                      <a:noFill/>
                    </a:ln>
                  </pic:spPr>
                </pic:pic>
              </a:graphicData>
            </a:graphic>
          </wp:inline>
        </w:drawing>
      </w:r>
    </w:p>
    <w:p w14:paraId="6728BA6C" w14:textId="54B839A0" w:rsidR="00A953A1" w:rsidRPr="00C41FD3" w:rsidRDefault="008544D2">
      <w:pPr>
        <w:jc w:val="center"/>
        <w:rPr>
          <w:lang w:val="en-US"/>
        </w:rPr>
      </w:pPr>
      <w:r w:rsidRPr="00C41FD3">
        <w:rPr>
          <w:b/>
          <w:bCs/>
          <w:noProof/>
        </w:rPr>
        <mc:AlternateContent>
          <mc:Choice Requires="wps">
            <w:drawing>
              <wp:anchor distT="0" distB="0" distL="114300" distR="114300" simplePos="0" relativeHeight="251657728" behindDoc="0" locked="0" layoutInCell="1" allowOverlap="1" wp14:anchorId="69A20414" wp14:editId="10E24D32">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2EA5D"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aG7QEAAMkDAAAOAAAAZHJzL2Uyb0RvYy54bWysU8GO0zAQvSPxD5bvNG3pLhA1Xa12tWil&#10;BVYqnCvXnjQWiceM3abl6xk7bSnsDZGD5Zmxn9+beZnf7LtW7ICCRVfJyWgsBTiNxrpNJb99fXjz&#10;XooQlTOqRQeVPECQN4vXr+a9L2GKDbYGSDCIC2XvK9nE6MuiCLqBToURenBcrJE6FTmkTWFI9Yze&#10;tcV0PL4ueiTjCTWEwNn7oSgXGb+uQccvdR0giraSzC3mlfK6TmuxmKtyQ8o3Vh9pqH9g0Snr+NEz&#10;1L2KSmzJvoDqrCYMWMeRxq7AurYasgZWMxn/pWbZKA9ZCzcn+HObwv+D1Z93zySs4dlJ4VTHI1rt&#10;x/ytIrawokczlaKxxkAab2pX70PJt5b+mZLg4J9Qfw/C4RJabvcAhHeNchu4Df5Figj7BpRhERmv&#10;+AMwBYGhxbr/hIbZqG3E3Nl9TV16kHsm9nmAh/MAYR+F5uT12yumLoXm0nHPjAtVni57CvEjYCfS&#10;ppLE7DK42j2FOBw9HUlvOXywbZvyJ16D/jWaA3MkHPzE/udNg/RTip69VMnwY6sIpGgfHev8MJnN&#10;kvlyMLt6N+WALivry4pymqEqGaUYtndxMOzWk900ucMDuVvuTW0z78RvYHUky37Jyo/eToa8jPOp&#10;33/g4h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Y0Qmhu0BAADJAwAADgAAAAAAAAAAAAAAAAAuAgAAZHJzL2Uyb0RvYy54bWxQ&#10;SwECLQAUAAYACAAAACEAhluH1dgAAAAFAQAADwAAAAAAAAAAAAAAAABHBAAAZHJzL2Rvd25yZXYu&#10;eG1sUEsFBgAAAAAEAAQA8wAAAEwFAAAAAA==&#10;" filled="f" stroked="f">
                <o:lock v:ext="edit" aspectratio="t" selection="t"/>
              </v:rect>
            </w:pict>
          </mc:Fallback>
        </mc:AlternateContent>
      </w:r>
      <w:r w:rsidR="00C720E6" w:rsidRPr="00C41FD3">
        <w:rPr>
          <w:b/>
          <w:bCs/>
          <w:lang w:val="en-US"/>
        </w:rPr>
        <w:t>Figure 1</w:t>
      </w:r>
      <w:r w:rsidR="00C720E6" w:rsidRPr="00C41FD3">
        <w:rPr>
          <w:lang w:val="en-US"/>
        </w:rPr>
        <w:t>.</w:t>
      </w:r>
      <w:r w:rsidR="00C41FD3" w:rsidRPr="00C41FD3">
        <w:rPr>
          <w:lang w:val="en-US"/>
        </w:rPr>
        <w:t xml:space="preserve"> examples of modulated c</w:t>
      </w:r>
      <w:r w:rsidR="00C41FD3">
        <w:rPr>
          <w:lang w:val="en-US"/>
        </w:rPr>
        <w:t>ompounds solved from 3D ED</w:t>
      </w:r>
    </w:p>
    <w:p w14:paraId="008D7A0E" w14:textId="77777777" w:rsidR="00B43E14" w:rsidRDefault="00B43E14" w:rsidP="00967C4E">
      <w:pPr>
        <w:pStyle w:val="Acknowledgement"/>
        <w:rPr>
          <w:bCs/>
          <w:i w:val="0"/>
          <w:sz w:val="18"/>
          <w:szCs w:val="18"/>
          <w:lang w:val="fr-FR" w:eastAsia="cs-CZ"/>
        </w:rPr>
      </w:pPr>
    </w:p>
    <w:p w14:paraId="7B1FF602" w14:textId="775E87D2" w:rsidR="00967C4E" w:rsidRPr="007F3F0E" w:rsidRDefault="00967C4E" w:rsidP="00967C4E">
      <w:pPr>
        <w:pStyle w:val="Acknowledgement"/>
        <w:rPr>
          <w:bCs/>
          <w:i w:val="0"/>
          <w:sz w:val="18"/>
          <w:szCs w:val="18"/>
          <w:lang w:val="fr-FR" w:eastAsia="cs-CZ"/>
        </w:rPr>
      </w:pPr>
      <w:r w:rsidRPr="007F3F0E">
        <w:rPr>
          <w:bCs/>
          <w:i w:val="0"/>
          <w:sz w:val="18"/>
          <w:szCs w:val="18"/>
          <w:lang w:val="fr-FR" w:eastAsia="cs-CZ"/>
        </w:rPr>
        <w:t>[1] Gemmi, M. et al. (2019). ACS Cent Sci 5, 1315–1329.</w:t>
      </w:r>
    </w:p>
    <w:p w14:paraId="142DABCB" w14:textId="32B576C4" w:rsidR="00967C4E" w:rsidRPr="007F3F0E" w:rsidRDefault="00967C4E" w:rsidP="00967C4E">
      <w:pPr>
        <w:pStyle w:val="Acknowledgement"/>
        <w:rPr>
          <w:bCs/>
          <w:i w:val="0"/>
          <w:sz w:val="18"/>
          <w:szCs w:val="18"/>
          <w:lang w:val="fr-FR" w:eastAsia="cs-CZ"/>
        </w:rPr>
      </w:pPr>
      <w:r w:rsidRPr="007F3F0E">
        <w:rPr>
          <w:bCs/>
          <w:i w:val="0"/>
          <w:sz w:val="18"/>
          <w:szCs w:val="18"/>
          <w:lang w:val="fr-FR" w:eastAsia="cs-CZ"/>
        </w:rPr>
        <w:t>[2] Brázda, P. et al. (2019). Science 364, 667—669.</w:t>
      </w:r>
    </w:p>
    <w:p w14:paraId="769A0FFF" w14:textId="222DE1CA" w:rsidR="00967C4E" w:rsidRPr="007F3F0E" w:rsidRDefault="00967C4E" w:rsidP="00967C4E">
      <w:pPr>
        <w:pStyle w:val="Acknowledgement"/>
        <w:rPr>
          <w:sz w:val="18"/>
          <w:szCs w:val="18"/>
        </w:rPr>
      </w:pPr>
      <w:r w:rsidRPr="007F3F0E">
        <w:rPr>
          <w:bCs/>
          <w:i w:val="0"/>
          <w:sz w:val="18"/>
          <w:szCs w:val="18"/>
          <w:lang w:val="fr-FR" w:eastAsia="cs-CZ"/>
        </w:rPr>
        <w:t xml:space="preserve">[3] Palatinus, L. et al. (2015). Acta Crystallogr B71, 740–751, and Klar, P. B. et al. </w:t>
      </w:r>
      <w:r w:rsidRPr="007F3F0E">
        <w:rPr>
          <w:bCs/>
          <w:i w:val="0"/>
          <w:sz w:val="18"/>
          <w:szCs w:val="18"/>
          <w:lang w:eastAsia="cs-CZ"/>
        </w:rPr>
        <w:t>(2023). Nat Chem 15, 848–855.</w:t>
      </w:r>
    </w:p>
    <w:p w14:paraId="06A1894B" w14:textId="121F125C" w:rsidR="00967C4E" w:rsidRPr="007F3F0E" w:rsidRDefault="00967C4E" w:rsidP="00967C4E">
      <w:pPr>
        <w:pStyle w:val="Acknowledgement"/>
        <w:rPr>
          <w:bCs/>
          <w:i w:val="0"/>
          <w:sz w:val="18"/>
          <w:szCs w:val="18"/>
          <w:lang w:val="fr-FR" w:eastAsia="cs-CZ"/>
        </w:rPr>
      </w:pPr>
      <w:r w:rsidRPr="007F3F0E">
        <w:rPr>
          <w:bCs/>
          <w:i w:val="0"/>
          <w:sz w:val="18"/>
          <w:szCs w:val="18"/>
          <w:lang w:val="fr-FR" w:eastAsia="cs-CZ"/>
        </w:rPr>
        <w:t>[</w:t>
      </w:r>
      <w:r w:rsidRPr="007F3F0E">
        <w:rPr>
          <w:bCs/>
          <w:i w:val="0"/>
          <w:sz w:val="18"/>
          <w:szCs w:val="18"/>
          <w:lang w:val="fr-FR" w:eastAsia="cs-CZ"/>
        </w:rPr>
        <w:t>4</w:t>
      </w:r>
      <w:r w:rsidRPr="007F3F0E">
        <w:rPr>
          <w:bCs/>
          <w:i w:val="0"/>
          <w:sz w:val="18"/>
          <w:szCs w:val="18"/>
          <w:lang w:val="fr-FR" w:eastAsia="cs-CZ"/>
        </w:rPr>
        <w:t>] Majzlan, J. et al. (2024). Mineral Mag 88, 482–492.</w:t>
      </w:r>
    </w:p>
    <w:p w14:paraId="7A69DCC9" w14:textId="201841A6" w:rsidR="00967C4E" w:rsidRPr="007F3F0E" w:rsidRDefault="00967C4E" w:rsidP="00967C4E">
      <w:pPr>
        <w:pStyle w:val="Acknowledgement"/>
        <w:rPr>
          <w:bCs/>
          <w:i w:val="0"/>
          <w:sz w:val="18"/>
          <w:szCs w:val="18"/>
          <w:lang w:eastAsia="cs-CZ"/>
        </w:rPr>
      </w:pPr>
      <w:r w:rsidRPr="007F3F0E">
        <w:rPr>
          <w:bCs/>
          <w:i w:val="0"/>
          <w:sz w:val="18"/>
          <w:szCs w:val="18"/>
          <w:lang w:eastAsia="cs-CZ"/>
        </w:rPr>
        <w:t>[5] Steciuk, G. et al. (2019). Sci Rep 9, 1–12.</w:t>
      </w:r>
    </w:p>
    <w:p w14:paraId="5D9B37D2" w14:textId="2AC7C6DF" w:rsidR="00967C4E" w:rsidRPr="007F3F0E" w:rsidRDefault="00967C4E" w:rsidP="00967C4E">
      <w:pPr>
        <w:pStyle w:val="Acknowledgement"/>
        <w:rPr>
          <w:bCs/>
          <w:i w:val="0"/>
          <w:sz w:val="18"/>
          <w:szCs w:val="18"/>
          <w:lang w:val="fr-FR" w:eastAsia="cs-CZ"/>
        </w:rPr>
      </w:pPr>
      <w:r w:rsidRPr="007F3F0E">
        <w:rPr>
          <w:bCs/>
          <w:i w:val="0"/>
          <w:sz w:val="18"/>
          <w:szCs w:val="18"/>
          <w:lang w:val="fr-FR" w:eastAsia="cs-CZ"/>
        </w:rPr>
        <w:t>[6]</w:t>
      </w:r>
      <w:r w:rsidRPr="007F3F0E">
        <w:rPr>
          <w:sz w:val="18"/>
          <w:szCs w:val="18"/>
          <w:lang w:val="fr-FR"/>
        </w:rPr>
        <w:t xml:space="preserve"> </w:t>
      </w:r>
      <w:r w:rsidRPr="007F3F0E">
        <w:rPr>
          <w:bCs/>
          <w:i w:val="0"/>
          <w:sz w:val="18"/>
          <w:szCs w:val="18"/>
          <w:lang w:val="fr-FR" w:eastAsia="cs-CZ"/>
        </w:rPr>
        <w:t xml:space="preserve">Gonano, B. et al. </w:t>
      </w:r>
      <w:r w:rsidR="00801205" w:rsidRPr="007F3F0E">
        <w:rPr>
          <w:bCs/>
          <w:i w:val="0"/>
          <w:sz w:val="18"/>
          <w:szCs w:val="18"/>
          <w:lang w:val="fr-FR" w:eastAsia="cs-CZ"/>
        </w:rPr>
        <w:t>(2020)</w:t>
      </w:r>
      <w:r w:rsidRPr="007F3F0E">
        <w:rPr>
          <w:bCs/>
          <w:i w:val="0"/>
          <w:sz w:val="18"/>
          <w:szCs w:val="18"/>
          <w:lang w:val="fr-FR" w:eastAsia="cs-CZ"/>
        </w:rPr>
        <w:t xml:space="preserve">. </w:t>
      </w:r>
      <w:r w:rsidRPr="007F3F0E">
        <w:rPr>
          <w:bCs/>
          <w:iCs/>
          <w:sz w:val="18"/>
          <w:szCs w:val="18"/>
          <w:lang w:val="fr-FR" w:eastAsia="cs-CZ"/>
        </w:rPr>
        <w:t>Angewandte Chemie</w:t>
      </w:r>
      <w:r w:rsidRPr="007F3F0E">
        <w:rPr>
          <w:bCs/>
          <w:i w:val="0"/>
          <w:sz w:val="18"/>
          <w:szCs w:val="18"/>
          <w:lang w:val="fr-FR" w:eastAsia="cs-CZ"/>
        </w:rPr>
        <w:t xml:space="preserve"> </w:t>
      </w:r>
      <w:r w:rsidRPr="007F3F0E">
        <w:rPr>
          <w:b/>
          <w:i w:val="0"/>
          <w:sz w:val="18"/>
          <w:szCs w:val="18"/>
          <w:lang w:val="fr-FR" w:eastAsia="cs-CZ"/>
        </w:rPr>
        <w:t>132</w:t>
      </w:r>
      <w:r w:rsidRPr="007F3F0E">
        <w:rPr>
          <w:bCs/>
          <w:i w:val="0"/>
          <w:sz w:val="18"/>
          <w:szCs w:val="18"/>
          <w:lang w:val="fr-FR" w:eastAsia="cs-CZ"/>
        </w:rPr>
        <w:t>, 22568–22573.</w:t>
      </w:r>
    </w:p>
    <w:p w14:paraId="4D252A62" w14:textId="1BF17B76" w:rsidR="00801205" w:rsidRPr="007F3F0E" w:rsidRDefault="00801205" w:rsidP="00967C4E">
      <w:pPr>
        <w:pStyle w:val="Acknowledgement"/>
        <w:rPr>
          <w:bCs/>
          <w:i w:val="0"/>
          <w:sz w:val="18"/>
          <w:szCs w:val="18"/>
          <w:lang w:val="en-US" w:eastAsia="cs-CZ"/>
        </w:rPr>
      </w:pPr>
      <w:r w:rsidRPr="007F3F0E">
        <w:rPr>
          <w:bCs/>
          <w:i w:val="0"/>
          <w:sz w:val="18"/>
          <w:szCs w:val="18"/>
          <w:lang w:val="en-US" w:eastAsia="cs-CZ"/>
        </w:rPr>
        <w:t xml:space="preserve">[7] </w:t>
      </w:r>
      <w:r w:rsidRPr="007F3F0E">
        <w:rPr>
          <w:bCs/>
          <w:i w:val="0"/>
          <w:sz w:val="18"/>
          <w:szCs w:val="18"/>
          <w:lang w:val="en-US" w:eastAsia="cs-CZ"/>
        </w:rPr>
        <w:t>Solokha</w:t>
      </w:r>
      <w:r w:rsidRPr="007F3F0E">
        <w:rPr>
          <w:bCs/>
          <w:i w:val="0"/>
          <w:sz w:val="18"/>
          <w:szCs w:val="18"/>
          <w:lang w:val="en-US" w:eastAsia="cs-CZ"/>
        </w:rPr>
        <w:t>, P. (2025)</w:t>
      </w:r>
      <w:r w:rsidR="007F3F0E" w:rsidRPr="007F3F0E">
        <w:rPr>
          <w:bCs/>
          <w:i w:val="0"/>
          <w:sz w:val="18"/>
          <w:szCs w:val="18"/>
          <w:lang w:val="en-US" w:eastAsia="cs-CZ"/>
        </w:rPr>
        <w:t>.</w:t>
      </w:r>
      <w:r w:rsidRPr="007F3F0E">
        <w:rPr>
          <w:bCs/>
          <w:i w:val="0"/>
          <w:sz w:val="18"/>
          <w:szCs w:val="18"/>
          <w:lang w:val="en-US" w:eastAsia="cs-CZ"/>
        </w:rPr>
        <w:t xml:space="preserve"> </w:t>
      </w:r>
      <w:r w:rsidRPr="007F3F0E">
        <w:rPr>
          <w:color w:val="000000"/>
          <w:sz w:val="18"/>
          <w:szCs w:val="18"/>
          <w:shd w:val="clear" w:color="auto" w:fill="FDFCFA"/>
        </w:rPr>
        <w:t>Acta Materialia</w:t>
      </w:r>
      <w:r w:rsidRPr="007F3F0E">
        <w:rPr>
          <w:color w:val="000000"/>
          <w:sz w:val="18"/>
          <w:szCs w:val="18"/>
          <w:shd w:val="clear" w:color="auto" w:fill="FDFCFA"/>
        </w:rPr>
        <w:t xml:space="preserve">. </w:t>
      </w:r>
      <w:r w:rsidR="007F3F0E" w:rsidRPr="007F3F0E">
        <w:rPr>
          <w:color w:val="000000"/>
          <w:sz w:val="18"/>
          <w:szCs w:val="18"/>
          <w:shd w:val="clear" w:color="auto" w:fill="FDFCFA"/>
        </w:rPr>
        <w:t>Accepted.</w:t>
      </w:r>
    </w:p>
    <w:p w14:paraId="4D1003AD" w14:textId="77777777" w:rsidR="00967C4E" w:rsidRPr="007F3F0E" w:rsidRDefault="00967C4E" w:rsidP="00967C4E">
      <w:pPr>
        <w:pStyle w:val="Acknowledgement"/>
        <w:rPr>
          <w:bCs/>
          <w:i w:val="0"/>
          <w:sz w:val="18"/>
          <w:szCs w:val="24"/>
          <w:lang w:val="en-US" w:eastAsia="cs-CZ"/>
        </w:rPr>
      </w:pPr>
    </w:p>
    <w:sectPr w:rsidR="00967C4E" w:rsidRPr="007F3F0E">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FB4E" w14:textId="77777777" w:rsidR="006D4491" w:rsidRDefault="006D4491">
      <w:pPr>
        <w:spacing w:after="0"/>
      </w:pPr>
      <w:r>
        <w:separator/>
      </w:r>
    </w:p>
  </w:endnote>
  <w:endnote w:type="continuationSeparator" w:id="0">
    <w:p w14:paraId="67C816FA" w14:textId="77777777" w:rsidR="006D4491" w:rsidRDefault="006D4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BF28" w14:textId="77777777" w:rsidR="00A953A1" w:rsidRDefault="00A953A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12A4" w14:textId="77777777" w:rsidR="006D4491" w:rsidRDefault="006D4491">
      <w:pPr>
        <w:spacing w:after="0"/>
      </w:pPr>
      <w:r>
        <w:separator/>
      </w:r>
    </w:p>
  </w:footnote>
  <w:footnote w:type="continuationSeparator" w:id="0">
    <w:p w14:paraId="0F34DE15" w14:textId="77777777" w:rsidR="006D4491" w:rsidRDefault="006D44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E23" w14:textId="6C0EB29F" w:rsidR="00A953A1" w:rsidRDefault="006D4491">
    <w:pPr>
      <w:tabs>
        <w:tab w:val="center" w:pos="4703"/>
        <w:tab w:val="right" w:pos="9406"/>
      </w:tabs>
    </w:pPr>
    <w:r>
      <w:rPr>
        <w:b/>
        <w:bCs/>
      </w:rPr>
      <w:t>MS</w:t>
    </w:r>
    <w:r>
      <w:tab/>
    </w:r>
    <w:r w:rsidR="00CA5BD3" w:rsidRPr="00CA5BD3">
      <w:rPr>
        <w:b/>
        <w:bCs/>
      </w:rPr>
      <w:t>M20 Aperiodic order and complex superstructures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A1"/>
    <w:rsid w:val="00065FD0"/>
    <w:rsid w:val="005A2041"/>
    <w:rsid w:val="005E4418"/>
    <w:rsid w:val="006D4491"/>
    <w:rsid w:val="007F3F0E"/>
    <w:rsid w:val="00801205"/>
    <w:rsid w:val="008544D2"/>
    <w:rsid w:val="00967C4E"/>
    <w:rsid w:val="00A953A1"/>
    <w:rsid w:val="00B43E14"/>
    <w:rsid w:val="00C41FD3"/>
    <w:rsid w:val="00C71DAF"/>
    <w:rsid w:val="00C720E6"/>
    <w:rsid w:val="00CA5BD3"/>
    <w:rsid w:val="00E50D3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2215"/>
  <w15:docId w15:val="{942B33FC-5CE5-4B72-8849-6842A27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p00048</cp:lastModifiedBy>
  <cp:revision>7</cp:revision>
  <dcterms:created xsi:type="dcterms:W3CDTF">2025-07-17T14:43:00Z</dcterms:created>
  <dcterms:modified xsi:type="dcterms:W3CDTF">2025-07-17T14:44:00Z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